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8DABC" w14:textId="7FC39116" w:rsidR="00F34C83" w:rsidRDefault="00F34C83" w:rsidP="00F34C83">
      <w:pPr>
        <w:spacing w:after="0" w:line="240" w:lineRule="auto"/>
        <w:rPr>
          <w:rFonts w:ascii="Arial" w:eastAsia="Times New Roman" w:hAnsi="Arial" w:cs="Arial"/>
          <w:color w:val="333333"/>
          <w:kern w:val="0"/>
          <w:sz w:val="26"/>
          <w:szCs w:val="26"/>
          <w:lang w:eastAsia="es-UY"/>
          <w14:ligatures w14:val="none"/>
        </w:rPr>
      </w:pPr>
      <w:r w:rsidRPr="00F34C83">
        <w:rPr>
          <w:rFonts w:ascii="Arial" w:eastAsia="Times New Roman" w:hAnsi="Arial" w:cs="Arial"/>
          <w:color w:val="333333"/>
          <w:kern w:val="0"/>
          <w:sz w:val="26"/>
          <w:szCs w:val="26"/>
          <w:lang w:eastAsia="es-UY"/>
          <w14:ligatures w14:val="none"/>
        </w:rPr>
        <w:drawing>
          <wp:inline distT="0" distB="0" distL="0" distR="0" wp14:anchorId="0CA201F7" wp14:editId="1192D034">
            <wp:extent cx="5400040" cy="2202180"/>
            <wp:effectExtent l="0" t="0" r="0" b="7620"/>
            <wp:docPr id="1933652183" name="Imagen 1" descr="Imagen que contiene persona, sostener, hombre, muje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52183" name="Imagen 1" descr="Imagen que contiene persona, sostener, hombre, mujer&#10;&#10;El contenido generado por IA puede ser incorrecto."/>
                    <pic:cNvPicPr/>
                  </pic:nvPicPr>
                  <pic:blipFill>
                    <a:blip r:embed="rId5"/>
                    <a:stretch>
                      <a:fillRect/>
                    </a:stretch>
                  </pic:blipFill>
                  <pic:spPr>
                    <a:xfrm>
                      <a:off x="0" y="0"/>
                      <a:ext cx="5400040" cy="2202180"/>
                    </a:xfrm>
                    <a:prstGeom prst="rect">
                      <a:avLst/>
                    </a:prstGeom>
                  </pic:spPr>
                </pic:pic>
              </a:graphicData>
            </a:graphic>
          </wp:inline>
        </w:drawing>
      </w:r>
    </w:p>
    <w:p w14:paraId="7E5D3FFA" w14:textId="77777777" w:rsidR="00F34C83" w:rsidRDefault="00F34C83" w:rsidP="00F34C83">
      <w:pPr>
        <w:spacing w:after="0" w:line="240" w:lineRule="auto"/>
        <w:rPr>
          <w:rFonts w:ascii="Arial" w:eastAsia="Times New Roman" w:hAnsi="Arial" w:cs="Arial"/>
          <w:color w:val="333333"/>
          <w:kern w:val="0"/>
          <w:sz w:val="26"/>
          <w:szCs w:val="26"/>
          <w:lang w:eastAsia="es-UY"/>
          <w14:ligatures w14:val="none"/>
        </w:rPr>
      </w:pPr>
    </w:p>
    <w:p w14:paraId="09CF099E" w14:textId="77777777" w:rsidR="00F34C83" w:rsidRDefault="00F34C83" w:rsidP="00F34C83">
      <w:pPr>
        <w:spacing w:after="0" w:line="240" w:lineRule="auto"/>
        <w:rPr>
          <w:rFonts w:ascii="Arial" w:eastAsia="Times New Roman" w:hAnsi="Arial" w:cs="Arial"/>
          <w:color w:val="333333"/>
          <w:kern w:val="0"/>
          <w:sz w:val="26"/>
          <w:szCs w:val="26"/>
          <w:lang w:eastAsia="es-UY"/>
          <w14:ligatures w14:val="none"/>
        </w:rPr>
      </w:pPr>
    </w:p>
    <w:p w14:paraId="2203721C" w14:textId="77777777" w:rsidR="00F34C83" w:rsidRDefault="00F34C83" w:rsidP="00F34C83">
      <w:pPr>
        <w:spacing w:after="0" w:line="240" w:lineRule="auto"/>
        <w:rPr>
          <w:rFonts w:ascii="Arial" w:eastAsia="Times New Roman" w:hAnsi="Arial" w:cs="Arial"/>
          <w:color w:val="333333"/>
          <w:kern w:val="0"/>
          <w:sz w:val="26"/>
          <w:szCs w:val="26"/>
          <w:lang w:eastAsia="es-UY"/>
          <w14:ligatures w14:val="none"/>
        </w:rPr>
      </w:pPr>
    </w:p>
    <w:p w14:paraId="2D9FDE24" w14:textId="66B0A6FF" w:rsidR="00F34C83" w:rsidRPr="00F34C83" w:rsidRDefault="00F34C83" w:rsidP="00F34C83">
      <w:pPr>
        <w:spacing w:after="0" w:line="240" w:lineRule="auto"/>
        <w:rPr>
          <w:rFonts w:ascii="Arial" w:eastAsia="Times New Roman" w:hAnsi="Arial" w:cs="Arial"/>
          <w:color w:val="333333"/>
          <w:kern w:val="0"/>
          <w:sz w:val="26"/>
          <w:szCs w:val="26"/>
          <w:lang w:eastAsia="es-UY"/>
          <w14:ligatures w14:val="none"/>
        </w:rPr>
      </w:pPr>
      <w:r w:rsidRPr="00F34C83">
        <w:rPr>
          <w:rFonts w:ascii="Arial" w:eastAsia="Times New Roman" w:hAnsi="Arial" w:cs="Arial"/>
          <w:color w:val="333333"/>
          <w:kern w:val="0"/>
          <w:sz w:val="26"/>
          <w:szCs w:val="26"/>
          <w:lang w:eastAsia="es-UY"/>
          <w14:ligatures w14:val="none"/>
        </w:rPr>
        <w:t>Estos 12 años de pontificado son un acontecimiento que puede ser muy interesante estudiar desde una perspectiva exquisitamente teológica.</w:t>
      </w:r>
    </w:p>
    <w:p w14:paraId="3933FFE3" w14:textId="77777777" w:rsidR="00F34C83" w:rsidRDefault="00F34C83" w:rsidP="00F34C83">
      <w:pPr>
        <w:spacing w:after="0" w:line="240" w:lineRule="auto"/>
        <w:rPr>
          <w:rFonts w:ascii="Arial" w:eastAsia="Times New Roman" w:hAnsi="Arial" w:cs="Arial"/>
          <w:color w:val="333333"/>
          <w:kern w:val="0"/>
          <w:sz w:val="26"/>
          <w:szCs w:val="26"/>
          <w:lang w:eastAsia="es-UY"/>
          <w14:ligatures w14:val="none"/>
        </w:rPr>
      </w:pPr>
      <w:r w:rsidRPr="00F34C83">
        <w:rPr>
          <w:rFonts w:ascii="Arial" w:eastAsia="Times New Roman" w:hAnsi="Arial" w:cs="Arial"/>
          <w:color w:val="333333"/>
          <w:kern w:val="0"/>
          <w:sz w:val="26"/>
          <w:szCs w:val="26"/>
          <w:lang w:eastAsia="es-UY"/>
          <w14:ligatures w14:val="none"/>
        </w:rPr>
        <w:t>El comentario es del teólogo italiano </w:t>
      </w:r>
      <w:hyperlink r:id="rId6" w:tgtFrame="_blank" w:history="1">
        <w:r w:rsidRPr="00F34C83">
          <w:rPr>
            <w:rFonts w:ascii="Arial" w:eastAsia="Times New Roman" w:hAnsi="Arial" w:cs="Arial"/>
            <w:color w:val="FC6B01"/>
            <w:kern w:val="0"/>
            <w:sz w:val="26"/>
            <w:szCs w:val="26"/>
            <w:u w:val="single"/>
            <w:lang w:eastAsia="es-UY"/>
            <w14:ligatures w14:val="none"/>
          </w:rPr>
          <w:t>Andrea Grillo</w:t>
        </w:r>
      </w:hyperlink>
      <w:r w:rsidRPr="00F34C83">
        <w:rPr>
          <w:rFonts w:ascii="Arial" w:eastAsia="Times New Roman" w:hAnsi="Arial" w:cs="Arial"/>
          <w:color w:val="333333"/>
          <w:kern w:val="0"/>
          <w:sz w:val="26"/>
          <w:szCs w:val="26"/>
          <w:lang w:eastAsia="es-UY"/>
          <w14:ligatures w14:val="none"/>
        </w:rPr>
        <w:t xml:space="preserve"> , profesor </w:t>
      </w:r>
    </w:p>
    <w:p w14:paraId="7FECAAB3" w14:textId="77777777" w:rsidR="00F34C83" w:rsidRDefault="00F34C83" w:rsidP="00F34C83">
      <w:pPr>
        <w:spacing w:after="0" w:line="240" w:lineRule="auto"/>
        <w:rPr>
          <w:rFonts w:ascii="Arial" w:eastAsia="Times New Roman" w:hAnsi="Arial" w:cs="Arial"/>
          <w:color w:val="333333"/>
          <w:kern w:val="0"/>
          <w:sz w:val="26"/>
          <w:szCs w:val="26"/>
          <w:lang w:eastAsia="es-UY"/>
          <w14:ligatures w14:val="none"/>
        </w:rPr>
      </w:pPr>
    </w:p>
    <w:p w14:paraId="6919CA04" w14:textId="05701DCD" w:rsidR="00F34C83" w:rsidRDefault="00F34C83" w:rsidP="00F34C83">
      <w:pPr>
        <w:spacing w:after="0" w:line="240" w:lineRule="auto"/>
        <w:rPr>
          <w:rFonts w:ascii="Arial" w:eastAsia="Times New Roman" w:hAnsi="Arial" w:cs="Arial"/>
          <w:color w:val="333333"/>
          <w:kern w:val="0"/>
          <w:sz w:val="26"/>
          <w:szCs w:val="26"/>
          <w:lang w:eastAsia="es-UY"/>
          <w14:ligatures w14:val="none"/>
        </w:rPr>
      </w:pPr>
      <w:r w:rsidRPr="00F34C83">
        <w:rPr>
          <w:rFonts w:ascii="Arial" w:eastAsia="Times New Roman" w:hAnsi="Arial" w:cs="Arial"/>
          <w:color w:val="333333"/>
          <w:kern w:val="0"/>
          <w:sz w:val="26"/>
          <w:szCs w:val="26"/>
          <w:lang w:eastAsia="es-UY"/>
          <w14:ligatures w14:val="none"/>
        </w:rPr>
        <w:t>del </w:t>
      </w:r>
      <w:r w:rsidRPr="00F34C83">
        <w:rPr>
          <w:rFonts w:ascii="Arial" w:eastAsia="Times New Roman" w:hAnsi="Arial" w:cs="Arial"/>
          <w:b/>
          <w:bCs/>
          <w:color w:val="333333"/>
          <w:kern w:val="0"/>
          <w:sz w:val="26"/>
          <w:szCs w:val="26"/>
          <w:lang w:eastAsia="es-UY"/>
          <w14:ligatures w14:val="none"/>
        </w:rPr>
        <w:t>Pontificio Ateneo San Anselmo</w:t>
      </w:r>
      <w:r w:rsidRPr="00F34C83">
        <w:rPr>
          <w:rFonts w:ascii="Arial" w:eastAsia="Times New Roman" w:hAnsi="Arial" w:cs="Arial"/>
          <w:color w:val="333333"/>
          <w:kern w:val="0"/>
          <w:sz w:val="26"/>
          <w:szCs w:val="26"/>
          <w:lang w:eastAsia="es-UY"/>
          <w14:ligatures w14:val="none"/>
        </w:rPr>
        <w:t> , publicado en su blog </w:t>
      </w:r>
      <w:r w:rsidRPr="00F34C83">
        <w:rPr>
          <w:rFonts w:ascii="Arial" w:eastAsia="Times New Roman" w:hAnsi="Arial" w:cs="Arial"/>
          <w:b/>
          <w:bCs/>
          <w:color w:val="333333"/>
          <w:kern w:val="0"/>
          <w:sz w:val="26"/>
          <w:szCs w:val="26"/>
          <w:lang w:eastAsia="es-UY"/>
          <w14:ligatures w14:val="none"/>
        </w:rPr>
        <w:t>Come Se Non</w:t>
      </w:r>
      <w:r w:rsidRPr="00F34C83">
        <w:rPr>
          <w:rFonts w:ascii="Arial" w:eastAsia="Times New Roman" w:hAnsi="Arial" w:cs="Arial"/>
          <w:color w:val="333333"/>
          <w:kern w:val="0"/>
          <w:sz w:val="26"/>
          <w:szCs w:val="26"/>
          <w:lang w:eastAsia="es-UY"/>
          <w14:ligatures w14:val="none"/>
        </w:rPr>
        <w:t> , el 13-03-2025. La traducción es de </w:t>
      </w:r>
      <w:r w:rsidRPr="00F34C83">
        <w:rPr>
          <w:rFonts w:ascii="Arial" w:eastAsia="Times New Roman" w:hAnsi="Arial" w:cs="Arial"/>
          <w:b/>
          <w:bCs/>
          <w:color w:val="333333"/>
          <w:kern w:val="0"/>
          <w:sz w:val="26"/>
          <w:szCs w:val="26"/>
          <w:lang w:eastAsia="es-UY"/>
          <w14:ligatures w14:val="none"/>
        </w:rPr>
        <w:t xml:space="preserve">Moisés </w:t>
      </w:r>
      <w:proofErr w:type="spellStart"/>
      <w:r w:rsidRPr="00F34C83">
        <w:rPr>
          <w:rFonts w:ascii="Arial" w:eastAsia="Times New Roman" w:hAnsi="Arial" w:cs="Arial"/>
          <w:b/>
          <w:bCs/>
          <w:color w:val="333333"/>
          <w:kern w:val="0"/>
          <w:sz w:val="26"/>
          <w:szCs w:val="26"/>
          <w:lang w:eastAsia="es-UY"/>
          <w14:ligatures w14:val="none"/>
        </w:rPr>
        <w:t>Sbardelotto</w:t>
      </w:r>
      <w:proofErr w:type="spellEnd"/>
      <w:r w:rsidRPr="00F34C83">
        <w:rPr>
          <w:rFonts w:ascii="Arial" w:eastAsia="Times New Roman" w:hAnsi="Arial" w:cs="Arial"/>
          <w:color w:val="333333"/>
          <w:kern w:val="0"/>
          <w:sz w:val="26"/>
          <w:szCs w:val="26"/>
          <w:lang w:eastAsia="es-UY"/>
          <w14:ligatures w14:val="none"/>
        </w:rPr>
        <w:t> .</w:t>
      </w:r>
    </w:p>
    <w:p w14:paraId="62E7E21B" w14:textId="77777777" w:rsidR="00F34C83" w:rsidRPr="00F34C83" w:rsidRDefault="00F34C83" w:rsidP="00F34C83">
      <w:pPr>
        <w:spacing w:after="0" w:line="240" w:lineRule="auto"/>
        <w:rPr>
          <w:rFonts w:ascii="Arial" w:eastAsia="Times New Roman" w:hAnsi="Arial" w:cs="Arial"/>
          <w:color w:val="333333"/>
          <w:kern w:val="0"/>
          <w:sz w:val="26"/>
          <w:szCs w:val="26"/>
          <w:lang w:eastAsia="es-UY"/>
          <w14:ligatures w14:val="none"/>
        </w:rPr>
      </w:pPr>
    </w:p>
    <w:p w14:paraId="1D67EB79" w14:textId="77777777" w:rsidR="00F34C83" w:rsidRPr="00F34C83" w:rsidRDefault="00F34C83" w:rsidP="00F34C83">
      <w:pPr>
        <w:spacing w:after="0" w:line="240" w:lineRule="auto"/>
        <w:jc w:val="both"/>
        <w:outlineLvl w:val="1"/>
        <w:rPr>
          <w:rFonts w:ascii="Arial" w:eastAsia="Times New Roman" w:hAnsi="Arial" w:cs="Arial"/>
          <w:b/>
          <w:bCs/>
          <w:color w:val="333333"/>
          <w:kern w:val="0"/>
          <w:sz w:val="32"/>
          <w:szCs w:val="32"/>
          <w:lang w:eastAsia="es-UY"/>
          <w14:ligatures w14:val="none"/>
        </w:rPr>
      </w:pPr>
      <w:r w:rsidRPr="00F34C83">
        <w:rPr>
          <w:rFonts w:ascii="Arial" w:eastAsia="Times New Roman" w:hAnsi="Arial" w:cs="Arial"/>
          <w:b/>
          <w:bCs/>
          <w:color w:val="333333"/>
          <w:kern w:val="0"/>
          <w:sz w:val="32"/>
          <w:szCs w:val="32"/>
          <w:lang w:eastAsia="es-UY"/>
          <w14:ligatures w14:val="none"/>
        </w:rPr>
        <w:t>Aquí está el texto.</w:t>
      </w:r>
    </w:p>
    <w:p w14:paraId="6D8CCE4E" w14:textId="77777777" w:rsidR="00F34C83" w:rsidRPr="00F34C83" w:rsidRDefault="00F34C83" w:rsidP="00F34C83">
      <w:pPr>
        <w:spacing w:after="0" w:line="240" w:lineRule="auto"/>
        <w:jc w:val="both"/>
        <w:outlineLvl w:val="1"/>
        <w:rPr>
          <w:rFonts w:ascii="Arial" w:eastAsia="Times New Roman" w:hAnsi="Arial" w:cs="Arial"/>
          <w:b/>
          <w:bCs/>
          <w:color w:val="333333"/>
          <w:kern w:val="0"/>
          <w:sz w:val="36"/>
          <w:szCs w:val="36"/>
          <w:lang w:eastAsia="es-UY"/>
          <w14:ligatures w14:val="none"/>
        </w:rPr>
      </w:pPr>
    </w:p>
    <w:p w14:paraId="36C149A3" w14:textId="77777777" w:rsidR="00F34C83" w:rsidRDefault="00F34C83" w:rsidP="00F34C83">
      <w:pPr>
        <w:spacing w:after="0" w:line="240" w:lineRule="auto"/>
        <w:jc w:val="both"/>
        <w:rPr>
          <w:rFonts w:ascii="Arial" w:eastAsia="Times New Roman" w:hAnsi="Arial" w:cs="Arial"/>
          <w:color w:val="333333"/>
          <w:kern w:val="0"/>
          <w:sz w:val="26"/>
          <w:szCs w:val="26"/>
          <w:lang w:eastAsia="es-UY"/>
          <w14:ligatures w14:val="none"/>
        </w:rPr>
      </w:pPr>
      <w:r w:rsidRPr="00F34C83">
        <w:rPr>
          <w:rFonts w:ascii="Arial" w:eastAsia="Times New Roman" w:hAnsi="Arial" w:cs="Arial"/>
          <w:color w:val="333333"/>
          <w:kern w:val="0"/>
          <w:sz w:val="26"/>
          <w:szCs w:val="26"/>
          <w:lang w:eastAsia="es-UY"/>
          <w14:ligatures w14:val="none"/>
        </w:rPr>
        <w:t>En el 12º aniversario de la elección de </w:t>
      </w:r>
      <w:hyperlink r:id="rId7" w:tgtFrame="_blank" w:history="1">
        <w:r w:rsidRPr="00F34C83">
          <w:rPr>
            <w:rFonts w:ascii="Arial" w:eastAsia="Times New Roman" w:hAnsi="Arial" w:cs="Arial"/>
            <w:color w:val="FC6B01"/>
            <w:kern w:val="0"/>
            <w:sz w:val="26"/>
            <w:szCs w:val="26"/>
            <w:u w:val="single"/>
            <w:lang w:eastAsia="es-UY"/>
            <w14:ligatures w14:val="none"/>
          </w:rPr>
          <w:t>Jorge Mario Bergoglio</w:t>
        </w:r>
      </w:hyperlink>
      <w:r w:rsidRPr="00F34C83">
        <w:rPr>
          <w:rFonts w:ascii="Arial" w:eastAsia="Times New Roman" w:hAnsi="Arial" w:cs="Arial"/>
          <w:color w:val="333333"/>
          <w:kern w:val="0"/>
          <w:sz w:val="26"/>
          <w:szCs w:val="26"/>
          <w:lang w:eastAsia="es-UY"/>
          <w14:ligatures w14:val="none"/>
        </w:rPr>
        <w:t> como Papa (13 de marzo de 2013), vale la pena reflexionar brevemente sobre el valor “teológico” de su modo de interpretar y vivir el papado en estos 12 años. Hago esto con un breve repaso de cuatro temas que merecen una consideración no sólo “curiosa” sino también “reflexiva”.</w:t>
      </w:r>
    </w:p>
    <w:p w14:paraId="0F6E15B5" w14:textId="77777777" w:rsidR="00F34C83" w:rsidRPr="00F34C83" w:rsidRDefault="00F34C83" w:rsidP="00F34C83">
      <w:pPr>
        <w:spacing w:after="0" w:line="240" w:lineRule="auto"/>
        <w:jc w:val="both"/>
        <w:rPr>
          <w:rFonts w:ascii="Arial" w:eastAsia="Times New Roman" w:hAnsi="Arial" w:cs="Arial"/>
          <w:color w:val="333333"/>
          <w:kern w:val="0"/>
          <w:sz w:val="26"/>
          <w:szCs w:val="26"/>
          <w:lang w:eastAsia="es-UY"/>
          <w14:ligatures w14:val="none"/>
        </w:rPr>
      </w:pPr>
    </w:p>
    <w:p w14:paraId="3032D366" w14:textId="030DA081" w:rsidR="00F34C83" w:rsidRPr="00F34C83" w:rsidRDefault="00F34C83" w:rsidP="00F34C83">
      <w:pPr>
        <w:pStyle w:val="Prrafodelista"/>
        <w:numPr>
          <w:ilvl w:val="0"/>
          <w:numId w:val="1"/>
        </w:numPr>
        <w:spacing w:after="0" w:line="240" w:lineRule="auto"/>
        <w:jc w:val="both"/>
        <w:outlineLvl w:val="1"/>
        <w:rPr>
          <w:rFonts w:ascii="Arial" w:eastAsia="Times New Roman" w:hAnsi="Arial" w:cs="Arial"/>
          <w:b/>
          <w:bCs/>
          <w:color w:val="333333"/>
          <w:kern w:val="0"/>
          <w:sz w:val="36"/>
          <w:szCs w:val="36"/>
          <w:lang w:eastAsia="es-UY"/>
          <w14:ligatures w14:val="none"/>
        </w:rPr>
      </w:pPr>
      <w:r w:rsidRPr="00F34C83">
        <w:rPr>
          <w:rFonts w:ascii="Arial" w:eastAsia="Times New Roman" w:hAnsi="Arial" w:cs="Arial"/>
          <w:b/>
          <w:bCs/>
          <w:color w:val="333333"/>
          <w:kern w:val="0"/>
          <w:sz w:val="36"/>
          <w:szCs w:val="36"/>
          <w:lang w:eastAsia="es-UY"/>
          <w14:ligatures w14:val="none"/>
        </w:rPr>
        <w:t>El primer papa “hijo” del Concilio</w:t>
      </w:r>
    </w:p>
    <w:p w14:paraId="71025F44" w14:textId="77777777" w:rsidR="00F34C83" w:rsidRPr="00F34C83" w:rsidRDefault="00F34C83" w:rsidP="00F34C83">
      <w:pPr>
        <w:pStyle w:val="Prrafodelista"/>
        <w:spacing w:after="0" w:line="240" w:lineRule="auto"/>
        <w:ind w:left="760"/>
        <w:jc w:val="both"/>
        <w:outlineLvl w:val="1"/>
        <w:rPr>
          <w:rFonts w:ascii="Arial" w:eastAsia="Times New Roman" w:hAnsi="Arial" w:cs="Arial"/>
          <w:b/>
          <w:bCs/>
          <w:color w:val="333333"/>
          <w:kern w:val="0"/>
          <w:sz w:val="36"/>
          <w:szCs w:val="36"/>
          <w:lang w:eastAsia="es-UY"/>
          <w14:ligatures w14:val="none"/>
        </w:rPr>
      </w:pPr>
    </w:p>
    <w:p w14:paraId="28E4BA16" w14:textId="77777777" w:rsidR="00F34C83" w:rsidRDefault="00F34C83" w:rsidP="00F34C83">
      <w:pPr>
        <w:spacing w:after="0" w:line="240" w:lineRule="auto"/>
        <w:jc w:val="both"/>
        <w:rPr>
          <w:rFonts w:ascii="Arial" w:eastAsia="Times New Roman" w:hAnsi="Arial" w:cs="Arial"/>
          <w:color w:val="333333"/>
          <w:kern w:val="0"/>
          <w:sz w:val="26"/>
          <w:szCs w:val="26"/>
          <w:lang w:eastAsia="es-UY"/>
          <w14:ligatures w14:val="none"/>
        </w:rPr>
      </w:pPr>
      <w:r w:rsidRPr="00F34C83">
        <w:rPr>
          <w:rFonts w:ascii="Arial" w:eastAsia="Times New Roman" w:hAnsi="Arial" w:cs="Arial"/>
          <w:color w:val="333333"/>
          <w:kern w:val="0"/>
          <w:sz w:val="26"/>
          <w:szCs w:val="26"/>
          <w:lang w:eastAsia="es-UY"/>
          <w14:ligatures w14:val="none"/>
        </w:rPr>
        <w:t>Este primer aspecto saca a la luz el trabajo que las generaciones, en su sucesión, realizan de manera invisible. Después de cuatro papas que fueron “padres del Concilio” ( </w:t>
      </w:r>
      <w:hyperlink r:id="rId8" w:tgtFrame="_blank" w:history="1">
        <w:r w:rsidRPr="00F34C83">
          <w:rPr>
            <w:rFonts w:ascii="Arial" w:eastAsia="Times New Roman" w:hAnsi="Arial" w:cs="Arial"/>
            <w:color w:val="FC6B01"/>
            <w:kern w:val="0"/>
            <w:sz w:val="26"/>
            <w:szCs w:val="26"/>
            <w:u w:val="single"/>
            <w:lang w:eastAsia="es-UY"/>
            <w14:ligatures w14:val="none"/>
          </w:rPr>
          <w:t>Juan XXIII</w:t>
        </w:r>
      </w:hyperlink>
      <w:r w:rsidRPr="00F34C83">
        <w:rPr>
          <w:rFonts w:ascii="Arial" w:eastAsia="Times New Roman" w:hAnsi="Arial" w:cs="Arial"/>
          <w:color w:val="333333"/>
          <w:kern w:val="0"/>
          <w:sz w:val="26"/>
          <w:szCs w:val="26"/>
          <w:lang w:eastAsia="es-UY"/>
          <w14:ligatures w14:val="none"/>
        </w:rPr>
        <w:t> , </w:t>
      </w:r>
      <w:hyperlink r:id="rId9" w:tgtFrame="_blank" w:history="1">
        <w:r w:rsidRPr="00F34C83">
          <w:rPr>
            <w:rFonts w:ascii="Arial" w:eastAsia="Times New Roman" w:hAnsi="Arial" w:cs="Arial"/>
            <w:color w:val="FC6B01"/>
            <w:kern w:val="0"/>
            <w:sz w:val="26"/>
            <w:szCs w:val="26"/>
            <w:u w:val="single"/>
            <w:lang w:eastAsia="es-UY"/>
            <w14:ligatures w14:val="none"/>
          </w:rPr>
          <w:t>Pablo VI</w:t>
        </w:r>
      </w:hyperlink>
      <w:r w:rsidRPr="00F34C83">
        <w:rPr>
          <w:rFonts w:ascii="Arial" w:eastAsia="Times New Roman" w:hAnsi="Arial" w:cs="Arial"/>
          <w:color w:val="333333"/>
          <w:kern w:val="0"/>
          <w:sz w:val="26"/>
          <w:szCs w:val="26"/>
          <w:lang w:eastAsia="es-UY"/>
          <w14:ligatures w14:val="none"/>
        </w:rPr>
        <w:t> , </w:t>
      </w:r>
      <w:hyperlink r:id="rId10" w:tgtFrame="_blank" w:history="1">
        <w:r w:rsidRPr="00F34C83">
          <w:rPr>
            <w:rFonts w:ascii="Arial" w:eastAsia="Times New Roman" w:hAnsi="Arial" w:cs="Arial"/>
            <w:color w:val="FC6B01"/>
            <w:kern w:val="0"/>
            <w:sz w:val="26"/>
            <w:szCs w:val="26"/>
            <w:u w:val="single"/>
            <w:lang w:eastAsia="es-UY"/>
            <w14:ligatures w14:val="none"/>
          </w:rPr>
          <w:t>Juan Pablo I</w:t>
        </w:r>
      </w:hyperlink>
      <w:r w:rsidRPr="00F34C83">
        <w:rPr>
          <w:rFonts w:ascii="Arial" w:eastAsia="Times New Roman" w:hAnsi="Arial" w:cs="Arial"/>
          <w:color w:val="333333"/>
          <w:kern w:val="0"/>
          <w:sz w:val="26"/>
          <w:szCs w:val="26"/>
          <w:lang w:eastAsia="es-UY"/>
          <w14:ligatures w14:val="none"/>
        </w:rPr>
        <w:t> , </w:t>
      </w:r>
      <w:hyperlink r:id="rId11" w:tgtFrame="_blank" w:history="1">
        <w:r w:rsidRPr="00F34C83">
          <w:rPr>
            <w:rFonts w:ascii="Arial" w:eastAsia="Times New Roman" w:hAnsi="Arial" w:cs="Arial"/>
            <w:color w:val="FC6B01"/>
            <w:kern w:val="0"/>
            <w:sz w:val="26"/>
            <w:szCs w:val="26"/>
            <w:u w:val="single"/>
            <w:lang w:eastAsia="es-UY"/>
            <w14:ligatures w14:val="none"/>
          </w:rPr>
          <w:t>Juan Pablo II</w:t>
        </w:r>
      </w:hyperlink>
      <w:r w:rsidRPr="00F34C83">
        <w:rPr>
          <w:rFonts w:ascii="Arial" w:eastAsia="Times New Roman" w:hAnsi="Arial" w:cs="Arial"/>
          <w:color w:val="333333"/>
          <w:kern w:val="0"/>
          <w:sz w:val="26"/>
          <w:szCs w:val="26"/>
          <w:lang w:eastAsia="es-UY"/>
          <w14:ligatures w14:val="none"/>
        </w:rPr>
        <w:t> y </w:t>
      </w:r>
      <w:hyperlink r:id="rId12" w:tgtFrame="_blank" w:history="1">
        <w:r w:rsidRPr="00F34C83">
          <w:rPr>
            <w:rFonts w:ascii="Arial" w:eastAsia="Times New Roman" w:hAnsi="Arial" w:cs="Arial"/>
            <w:color w:val="FC6B01"/>
            <w:kern w:val="0"/>
            <w:sz w:val="26"/>
            <w:szCs w:val="26"/>
            <w:u w:val="single"/>
            <w:lang w:eastAsia="es-UY"/>
            <w14:ligatures w14:val="none"/>
          </w:rPr>
          <w:t>Benedicto XVI</w:t>
        </w:r>
      </w:hyperlink>
      <w:r w:rsidRPr="00F34C83">
        <w:rPr>
          <w:rFonts w:ascii="Arial" w:eastAsia="Times New Roman" w:hAnsi="Arial" w:cs="Arial"/>
          <w:color w:val="333333"/>
          <w:kern w:val="0"/>
          <w:sz w:val="26"/>
          <w:szCs w:val="26"/>
          <w:lang w:eastAsia="es-UY"/>
          <w14:ligatures w14:val="none"/>
        </w:rPr>
        <w:t> ), el primer papa que no estuvo en el Concilio como obispo o como experto implica una relación “no autobiográfica” con </w:t>
      </w:r>
      <w:hyperlink r:id="rId13" w:tgtFrame="_blank" w:history="1">
        <w:r w:rsidRPr="00F34C83">
          <w:rPr>
            <w:rFonts w:ascii="Arial" w:eastAsia="Times New Roman" w:hAnsi="Arial" w:cs="Arial"/>
            <w:color w:val="FC6B01"/>
            <w:kern w:val="0"/>
            <w:sz w:val="26"/>
            <w:szCs w:val="26"/>
            <w:u w:val="single"/>
            <w:lang w:eastAsia="es-UY"/>
            <w14:ligatures w14:val="none"/>
          </w:rPr>
          <w:t>el Vaticano II</w:t>
        </w:r>
      </w:hyperlink>
      <w:r w:rsidRPr="00F34C83">
        <w:rPr>
          <w:rFonts w:ascii="Arial" w:eastAsia="Times New Roman" w:hAnsi="Arial" w:cs="Arial"/>
          <w:color w:val="333333"/>
          <w:kern w:val="0"/>
          <w:sz w:val="26"/>
          <w:szCs w:val="26"/>
          <w:lang w:eastAsia="es-UY"/>
          <w14:ligatures w14:val="none"/>
        </w:rPr>
        <w:t> .</w:t>
      </w:r>
    </w:p>
    <w:p w14:paraId="48C33594" w14:textId="77777777" w:rsidR="00F34C83" w:rsidRPr="00F34C83" w:rsidRDefault="00F34C83" w:rsidP="00F34C83">
      <w:pPr>
        <w:spacing w:after="0" w:line="240" w:lineRule="auto"/>
        <w:jc w:val="both"/>
        <w:rPr>
          <w:rFonts w:ascii="Arial" w:eastAsia="Times New Roman" w:hAnsi="Arial" w:cs="Arial"/>
          <w:color w:val="333333"/>
          <w:kern w:val="0"/>
          <w:sz w:val="26"/>
          <w:szCs w:val="26"/>
          <w:lang w:eastAsia="es-UY"/>
          <w14:ligatures w14:val="none"/>
        </w:rPr>
      </w:pPr>
    </w:p>
    <w:p w14:paraId="69C3A326" w14:textId="77777777" w:rsidR="00F34C83" w:rsidRDefault="00F34C83" w:rsidP="00F34C83">
      <w:pPr>
        <w:spacing w:after="0" w:line="240" w:lineRule="auto"/>
        <w:jc w:val="both"/>
        <w:rPr>
          <w:rFonts w:ascii="Arial" w:eastAsia="Times New Roman" w:hAnsi="Arial" w:cs="Arial"/>
          <w:color w:val="333333"/>
          <w:kern w:val="0"/>
          <w:sz w:val="26"/>
          <w:szCs w:val="26"/>
          <w:lang w:eastAsia="es-UY"/>
          <w14:ligatures w14:val="none"/>
        </w:rPr>
      </w:pPr>
      <w:r w:rsidRPr="00F34C83">
        <w:rPr>
          <w:rFonts w:ascii="Arial" w:eastAsia="Times New Roman" w:hAnsi="Arial" w:cs="Arial"/>
          <w:color w:val="333333"/>
          <w:kern w:val="0"/>
          <w:sz w:val="26"/>
          <w:szCs w:val="26"/>
          <w:lang w:eastAsia="es-UY"/>
          <w14:ligatures w14:val="none"/>
        </w:rPr>
        <w:t>En </w:t>
      </w:r>
      <w:r w:rsidRPr="00F34C83">
        <w:rPr>
          <w:rFonts w:ascii="Arial" w:eastAsia="Times New Roman" w:hAnsi="Arial" w:cs="Arial"/>
          <w:b/>
          <w:bCs/>
          <w:color w:val="333333"/>
          <w:kern w:val="0"/>
          <w:sz w:val="26"/>
          <w:szCs w:val="26"/>
          <w:lang w:eastAsia="es-UY"/>
          <w14:ligatures w14:val="none"/>
        </w:rPr>
        <w:t>Francisco</w:t>
      </w:r>
      <w:r w:rsidRPr="00F34C83">
        <w:rPr>
          <w:rFonts w:ascii="Arial" w:eastAsia="Times New Roman" w:hAnsi="Arial" w:cs="Arial"/>
          <w:color w:val="333333"/>
          <w:kern w:val="0"/>
          <w:sz w:val="26"/>
          <w:szCs w:val="26"/>
          <w:lang w:eastAsia="es-UY"/>
          <w14:ligatures w14:val="none"/>
        </w:rPr>
        <w:t xml:space="preserve"> está el inicio de una verdadera “tradición conciliar”, que no habría sido posible para quien había sido el “autor” del Concilio. En Francisco, la “intención del autor” se identifica con el trabajo hermenéutico del “hijo”. Si los “padres” están siempre un poco aprensivos y preocupados por sus hijos “doctrinales”, un niño es necesariamente </w:t>
      </w:r>
      <w:proofErr w:type="gramStart"/>
      <w:r w:rsidRPr="00F34C83">
        <w:rPr>
          <w:rFonts w:ascii="Arial" w:eastAsia="Times New Roman" w:hAnsi="Arial" w:cs="Arial"/>
          <w:color w:val="333333"/>
          <w:kern w:val="0"/>
          <w:sz w:val="26"/>
          <w:szCs w:val="26"/>
          <w:lang w:eastAsia="es-UY"/>
          <w14:ligatures w14:val="none"/>
        </w:rPr>
        <w:t>más libre y más sereno</w:t>
      </w:r>
      <w:proofErr w:type="gramEnd"/>
      <w:r w:rsidRPr="00F34C83">
        <w:rPr>
          <w:rFonts w:ascii="Arial" w:eastAsia="Times New Roman" w:hAnsi="Arial" w:cs="Arial"/>
          <w:color w:val="333333"/>
          <w:kern w:val="0"/>
          <w:sz w:val="26"/>
          <w:szCs w:val="26"/>
          <w:lang w:eastAsia="es-UY"/>
          <w14:ligatures w14:val="none"/>
        </w:rPr>
        <w:t xml:space="preserve">. La historia es capaz de esto a lo largo de las generaciones. De </w:t>
      </w:r>
      <w:r w:rsidRPr="00F34C83">
        <w:rPr>
          <w:rFonts w:ascii="Arial" w:eastAsia="Times New Roman" w:hAnsi="Arial" w:cs="Arial"/>
          <w:color w:val="333333"/>
          <w:kern w:val="0"/>
          <w:sz w:val="26"/>
          <w:szCs w:val="26"/>
          <w:lang w:eastAsia="es-UY"/>
          <w14:ligatures w14:val="none"/>
        </w:rPr>
        <w:lastRenderedPageBreak/>
        <w:t>este modo se introduce una lectura autorizada de los textos y de los acontecimientos conciliares, propuesta ya no por los padres, sino por los hijos. </w:t>
      </w:r>
    </w:p>
    <w:p w14:paraId="71E32FC8" w14:textId="77777777" w:rsidR="00F34C83" w:rsidRPr="00F34C83" w:rsidRDefault="00F34C83" w:rsidP="00F34C83">
      <w:pPr>
        <w:spacing w:after="0" w:line="240" w:lineRule="auto"/>
        <w:jc w:val="both"/>
        <w:rPr>
          <w:rFonts w:ascii="Arial" w:eastAsia="Times New Roman" w:hAnsi="Arial" w:cs="Arial"/>
          <w:color w:val="333333"/>
          <w:kern w:val="0"/>
          <w:sz w:val="26"/>
          <w:szCs w:val="26"/>
          <w:lang w:eastAsia="es-UY"/>
          <w14:ligatures w14:val="none"/>
        </w:rPr>
      </w:pPr>
    </w:p>
    <w:p w14:paraId="1156DBBF" w14:textId="5571D1A6" w:rsidR="00F34C83" w:rsidRPr="00F34C83" w:rsidRDefault="00F34C83" w:rsidP="00F34C83">
      <w:pPr>
        <w:pStyle w:val="Prrafodelista"/>
        <w:numPr>
          <w:ilvl w:val="0"/>
          <w:numId w:val="1"/>
        </w:numPr>
        <w:spacing w:after="0" w:line="240" w:lineRule="auto"/>
        <w:jc w:val="both"/>
        <w:outlineLvl w:val="1"/>
        <w:rPr>
          <w:rFonts w:ascii="Arial" w:eastAsia="Times New Roman" w:hAnsi="Arial" w:cs="Arial"/>
          <w:b/>
          <w:bCs/>
          <w:color w:val="333333"/>
          <w:kern w:val="0"/>
          <w:sz w:val="36"/>
          <w:szCs w:val="36"/>
          <w:lang w:eastAsia="es-UY"/>
          <w14:ligatures w14:val="none"/>
        </w:rPr>
      </w:pPr>
      <w:r w:rsidRPr="00F34C83">
        <w:rPr>
          <w:rFonts w:ascii="Arial" w:eastAsia="Times New Roman" w:hAnsi="Arial" w:cs="Arial"/>
          <w:b/>
          <w:bCs/>
          <w:color w:val="333333"/>
          <w:kern w:val="0"/>
          <w:sz w:val="36"/>
          <w:szCs w:val="36"/>
          <w:lang w:eastAsia="es-UY"/>
          <w14:ligatures w14:val="none"/>
        </w:rPr>
        <w:t>El primer Papa que “no reside” en el Palacio Apostólico</w:t>
      </w:r>
    </w:p>
    <w:p w14:paraId="11286330" w14:textId="77777777" w:rsidR="00F34C83" w:rsidRPr="00F34C83" w:rsidRDefault="00F34C83" w:rsidP="00F34C83">
      <w:pPr>
        <w:spacing w:after="0" w:line="240" w:lineRule="auto"/>
        <w:ind w:left="360"/>
        <w:jc w:val="both"/>
        <w:outlineLvl w:val="1"/>
        <w:rPr>
          <w:rFonts w:ascii="Arial" w:eastAsia="Times New Roman" w:hAnsi="Arial" w:cs="Arial"/>
          <w:b/>
          <w:bCs/>
          <w:color w:val="333333"/>
          <w:kern w:val="0"/>
          <w:sz w:val="36"/>
          <w:szCs w:val="36"/>
          <w:lang w:eastAsia="es-UY"/>
          <w14:ligatures w14:val="none"/>
        </w:rPr>
      </w:pPr>
    </w:p>
    <w:p w14:paraId="4C38FA4A" w14:textId="77777777" w:rsidR="00F34C83" w:rsidRDefault="00F34C83" w:rsidP="00F34C83">
      <w:pPr>
        <w:spacing w:after="0" w:line="240" w:lineRule="auto"/>
        <w:jc w:val="both"/>
        <w:rPr>
          <w:rFonts w:ascii="Arial" w:eastAsia="Times New Roman" w:hAnsi="Arial" w:cs="Arial"/>
          <w:color w:val="333333"/>
          <w:kern w:val="0"/>
          <w:sz w:val="26"/>
          <w:szCs w:val="26"/>
          <w:lang w:eastAsia="es-UY"/>
          <w14:ligatures w14:val="none"/>
        </w:rPr>
      </w:pPr>
      <w:r w:rsidRPr="00F34C83">
        <w:rPr>
          <w:rFonts w:ascii="Arial" w:eastAsia="Times New Roman" w:hAnsi="Arial" w:cs="Arial"/>
          <w:color w:val="333333"/>
          <w:kern w:val="0"/>
          <w:sz w:val="26"/>
          <w:szCs w:val="26"/>
          <w:lang w:eastAsia="es-UY"/>
          <w14:ligatures w14:val="none"/>
        </w:rPr>
        <w:t>Uno de los primeros gestos simbólicos </w:t>
      </w:r>
      <w:r w:rsidRPr="00F34C83">
        <w:rPr>
          <w:rFonts w:ascii="Arial" w:eastAsia="Times New Roman" w:hAnsi="Arial" w:cs="Arial"/>
          <w:b/>
          <w:bCs/>
          <w:color w:val="333333"/>
          <w:kern w:val="0"/>
          <w:sz w:val="26"/>
          <w:szCs w:val="26"/>
          <w:lang w:eastAsia="es-UY"/>
          <w14:ligatures w14:val="none"/>
        </w:rPr>
        <w:t>del Papa Francisco</w:t>
      </w:r>
      <w:r w:rsidRPr="00F34C83">
        <w:rPr>
          <w:rFonts w:ascii="Arial" w:eastAsia="Times New Roman" w:hAnsi="Arial" w:cs="Arial"/>
          <w:color w:val="333333"/>
          <w:kern w:val="0"/>
          <w:sz w:val="26"/>
          <w:szCs w:val="26"/>
          <w:lang w:eastAsia="es-UY"/>
          <w14:ligatures w14:val="none"/>
        </w:rPr>
        <w:t> fue “no vivir” en el lugar oficial de su despacho. Así comenzó una redefinición –ciertamente fatigosa y lenta- de la figura misma del </w:t>
      </w:r>
      <w:r w:rsidRPr="00F34C83">
        <w:rPr>
          <w:rFonts w:ascii="Arial" w:eastAsia="Times New Roman" w:hAnsi="Arial" w:cs="Arial"/>
          <w:b/>
          <w:bCs/>
          <w:color w:val="333333"/>
          <w:kern w:val="0"/>
          <w:sz w:val="26"/>
          <w:szCs w:val="26"/>
          <w:lang w:eastAsia="es-UY"/>
          <w14:ligatures w14:val="none"/>
        </w:rPr>
        <w:t>“Obispo de Roma”</w:t>
      </w:r>
      <w:r w:rsidRPr="00F34C83">
        <w:rPr>
          <w:rFonts w:ascii="Arial" w:eastAsia="Times New Roman" w:hAnsi="Arial" w:cs="Arial"/>
          <w:color w:val="333333"/>
          <w:kern w:val="0"/>
          <w:sz w:val="26"/>
          <w:szCs w:val="26"/>
          <w:lang w:eastAsia="es-UY"/>
          <w14:ligatures w14:val="none"/>
        </w:rPr>
        <w:t> , a partir de su “salida” del </w:t>
      </w:r>
      <w:r w:rsidRPr="00F34C83">
        <w:rPr>
          <w:rFonts w:ascii="Arial" w:eastAsia="Times New Roman" w:hAnsi="Arial" w:cs="Arial"/>
          <w:b/>
          <w:bCs/>
          <w:color w:val="333333"/>
          <w:kern w:val="0"/>
          <w:sz w:val="26"/>
          <w:szCs w:val="26"/>
          <w:lang w:eastAsia="es-UY"/>
          <w14:ligatures w14:val="none"/>
        </w:rPr>
        <w:t>Palacio Apostólico</w:t>
      </w:r>
      <w:r w:rsidRPr="00F34C83">
        <w:rPr>
          <w:rFonts w:ascii="Arial" w:eastAsia="Times New Roman" w:hAnsi="Arial" w:cs="Arial"/>
          <w:color w:val="333333"/>
          <w:kern w:val="0"/>
          <w:sz w:val="26"/>
          <w:szCs w:val="26"/>
          <w:lang w:eastAsia="es-UY"/>
          <w14:ligatures w14:val="none"/>
        </w:rPr>
        <w:t> . </w:t>
      </w:r>
    </w:p>
    <w:p w14:paraId="7ACA6F8D" w14:textId="77777777" w:rsidR="00F34C83" w:rsidRPr="00F34C83" w:rsidRDefault="00F34C83" w:rsidP="00F34C83">
      <w:pPr>
        <w:spacing w:after="0" w:line="240" w:lineRule="auto"/>
        <w:jc w:val="both"/>
        <w:rPr>
          <w:rFonts w:ascii="Arial" w:eastAsia="Times New Roman" w:hAnsi="Arial" w:cs="Arial"/>
          <w:color w:val="333333"/>
          <w:kern w:val="0"/>
          <w:sz w:val="26"/>
          <w:szCs w:val="26"/>
          <w:lang w:eastAsia="es-UY"/>
          <w14:ligatures w14:val="none"/>
        </w:rPr>
      </w:pPr>
    </w:p>
    <w:p w14:paraId="40E6C2CC" w14:textId="77777777" w:rsidR="00F34C83" w:rsidRDefault="00F34C83" w:rsidP="00F34C83">
      <w:pPr>
        <w:spacing w:after="0" w:line="240" w:lineRule="auto"/>
        <w:jc w:val="both"/>
        <w:rPr>
          <w:rFonts w:ascii="Arial" w:eastAsia="Times New Roman" w:hAnsi="Arial" w:cs="Arial"/>
          <w:color w:val="333333"/>
          <w:kern w:val="0"/>
          <w:sz w:val="26"/>
          <w:szCs w:val="26"/>
          <w:lang w:eastAsia="es-UY"/>
          <w14:ligatures w14:val="none"/>
        </w:rPr>
      </w:pPr>
      <w:r w:rsidRPr="00F34C83">
        <w:rPr>
          <w:rFonts w:ascii="Arial" w:eastAsia="Times New Roman" w:hAnsi="Arial" w:cs="Arial"/>
          <w:color w:val="333333"/>
          <w:kern w:val="0"/>
          <w:sz w:val="26"/>
          <w:szCs w:val="26"/>
          <w:lang w:eastAsia="es-UY"/>
          <w14:ligatures w14:val="none"/>
        </w:rPr>
        <w:t>No podemos olvidar que, poco antes de su elección, en su último discurso a la Congregación de Cardenales, el cardenal </w:t>
      </w:r>
      <w:r w:rsidRPr="00F34C83">
        <w:rPr>
          <w:rFonts w:ascii="Arial" w:eastAsia="Times New Roman" w:hAnsi="Arial" w:cs="Arial"/>
          <w:b/>
          <w:bCs/>
          <w:color w:val="333333"/>
          <w:kern w:val="0"/>
          <w:sz w:val="26"/>
          <w:szCs w:val="26"/>
          <w:lang w:eastAsia="es-UY"/>
          <w14:ligatures w14:val="none"/>
        </w:rPr>
        <w:t>Bergoglio</w:t>
      </w:r>
      <w:r w:rsidRPr="00F34C83">
        <w:rPr>
          <w:rFonts w:ascii="Arial" w:eastAsia="Times New Roman" w:hAnsi="Arial" w:cs="Arial"/>
          <w:color w:val="333333"/>
          <w:kern w:val="0"/>
          <w:sz w:val="26"/>
          <w:szCs w:val="26"/>
          <w:lang w:eastAsia="es-UY"/>
          <w14:ligatures w14:val="none"/>
        </w:rPr>
        <w:t> evocó la curiosa imagen de un Señor que “llama a la puerta”, no para entrar, sino para salir. Una “Iglesia en salida” no es sólo un eslogan eficaz, sino también un modo de reinterpretar la función del papado, a partir de la limpieza y poda de las formas de “residencia”. </w:t>
      </w:r>
    </w:p>
    <w:p w14:paraId="32C68885" w14:textId="77777777" w:rsidR="00F34C83" w:rsidRPr="00F34C83" w:rsidRDefault="00F34C83" w:rsidP="00F34C83">
      <w:pPr>
        <w:spacing w:after="0" w:line="240" w:lineRule="auto"/>
        <w:jc w:val="both"/>
        <w:rPr>
          <w:rFonts w:ascii="Arial" w:eastAsia="Times New Roman" w:hAnsi="Arial" w:cs="Arial"/>
          <w:color w:val="333333"/>
          <w:kern w:val="0"/>
          <w:sz w:val="26"/>
          <w:szCs w:val="26"/>
          <w:lang w:eastAsia="es-UY"/>
          <w14:ligatures w14:val="none"/>
        </w:rPr>
      </w:pPr>
    </w:p>
    <w:p w14:paraId="6FCBE4BF" w14:textId="77777777" w:rsidR="00F34C83" w:rsidRDefault="00F34C83" w:rsidP="00F34C83">
      <w:pPr>
        <w:spacing w:after="0" w:line="240" w:lineRule="auto"/>
        <w:jc w:val="both"/>
        <w:rPr>
          <w:rFonts w:ascii="Arial" w:eastAsia="Times New Roman" w:hAnsi="Arial" w:cs="Arial"/>
          <w:color w:val="333333"/>
          <w:kern w:val="0"/>
          <w:sz w:val="26"/>
          <w:szCs w:val="26"/>
          <w:lang w:eastAsia="es-UY"/>
          <w14:ligatures w14:val="none"/>
        </w:rPr>
      </w:pPr>
      <w:r w:rsidRPr="00F34C83">
        <w:rPr>
          <w:rFonts w:ascii="Arial" w:eastAsia="Times New Roman" w:hAnsi="Arial" w:cs="Arial"/>
          <w:color w:val="333333"/>
          <w:kern w:val="0"/>
          <w:sz w:val="26"/>
          <w:szCs w:val="26"/>
          <w:lang w:eastAsia="es-UY"/>
          <w14:ligatures w14:val="none"/>
        </w:rPr>
        <w:t>Sin centrarse tanto en la “reforma institucional”, </w:t>
      </w:r>
      <w:r w:rsidRPr="00F34C83">
        <w:rPr>
          <w:rFonts w:ascii="Arial" w:eastAsia="Times New Roman" w:hAnsi="Arial" w:cs="Arial"/>
          <w:b/>
          <w:bCs/>
          <w:color w:val="333333"/>
          <w:kern w:val="0"/>
          <w:sz w:val="26"/>
          <w:szCs w:val="26"/>
          <w:lang w:eastAsia="es-UY"/>
          <w14:ligatures w14:val="none"/>
        </w:rPr>
        <w:t>Francisco</w:t>
      </w:r>
      <w:r w:rsidRPr="00F34C83">
        <w:rPr>
          <w:rFonts w:ascii="Arial" w:eastAsia="Times New Roman" w:hAnsi="Arial" w:cs="Arial"/>
          <w:color w:val="333333"/>
          <w:kern w:val="0"/>
          <w:sz w:val="26"/>
          <w:szCs w:val="26"/>
          <w:lang w:eastAsia="es-UY"/>
          <w14:ligatures w14:val="none"/>
        </w:rPr>
        <w:t> ha propuesto en estos 12 años sobre todo una “reforma simbólica” que merece atención. </w:t>
      </w:r>
    </w:p>
    <w:p w14:paraId="023FCADF" w14:textId="77777777" w:rsidR="00F34C83" w:rsidRPr="00F34C83" w:rsidRDefault="00F34C83" w:rsidP="00F34C83">
      <w:pPr>
        <w:spacing w:after="0" w:line="240" w:lineRule="auto"/>
        <w:jc w:val="both"/>
        <w:rPr>
          <w:rFonts w:ascii="Arial" w:eastAsia="Times New Roman" w:hAnsi="Arial" w:cs="Arial"/>
          <w:color w:val="333333"/>
          <w:kern w:val="0"/>
          <w:sz w:val="26"/>
          <w:szCs w:val="26"/>
          <w:lang w:eastAsia="es-UY"/>
          <w14:ligatures w14:val="none"/>
        </w:rPr>
      </w:pPr>
    </w:p>
    <w:p w14:paraId="7C136F04" w14:textId="77777777" w:rsidR="00F34C83" w:rsidRDefault="00F34C83" w:rsidP="00F34C83">
      <w:pPr>
        <w:spacing w:after="0" w:line="240" w:lineRule="auto"/>
        <w:jc w:val="both"/>
        <w:outlineLvl w:val="1"/>
        <w:rPr>
          <w:rFonts w:ascii="Arial" w:eastAsia="Times New Roman" w:hAnsi="Arial" w:cs="Arial"/>
          <w:b/>
          <w:bCs/>
          <w:color w:val="333333"/>
          <w:kern w:val="0"/>
          <w:sz w:val="36"/>
          <w:szCs w:val="36"/>
          <w:lang w:eastAsia="es-UY"/>
          <w14:ligatures w14:val="none"/>
        </w:rPr>
      </w:pPr>
      <w:r w:rsidRPr="00F34C83">
        <w:rPr>
          <w:rFonts w:ascii="Arial" w:eastAsia="Times New Roman" w:hAnsi="Arial" w:cs="Arial"/>
          <w:b/>
          <w:bCs/>
          <w:color w:val="333333"/>
          <w:kern w:val="0"/>
          <w:sz w:val="36"/>
          <w:szCs w:val="36"/>
          <w:lang w:eastAsia="es-UY"/>
          <w14:ligatures w14:val="none"/>
        </w:rPr>
        <w:t>3. El primer papa “estadounidense”</w:t>
      </w:r>
    </w:p>
    <w:p w14:paraId="648F1877" w14:textId="77777777" w:rsidR="00F34C83" w:rsidRPr="00F34C83" w:rsidRDefault="00F34C83" w:rsidP="00F34C83">
      <w:pPr>
        <w:spacing w:after="0" w:line="240" w:lineRule="auto"/>
        <w:jc w:val="both"/>
        <w:outlineLvl w:val="1"/>
        <w:rPr>
          <w:rFonts w:ascii="Arial" w:eastAsia="Times New Roman" w:hAnsi="Arial" w:cs="Arial"/>
          <w:b/>
          <w:bCs/>
          <w:color w:val="333333"/>
          <w:kern w:val="0"/>
          <w:sz w:val="36"/>
          <w:szCs w:val="36"/>
          <w:lang w:eastAsia="es-UY"/>
          <w14:ligatures w14:val="none"/>
        </w:rPr>
      </w:pPr>
    </w:p>
    <w:p w14:paraId="1096E192" w14:textId="77777777" w:rsidR="00F34C83" w:rsidRDefault="00F34C83" w:rsidP="00F34C83">
      <w:pPr>
        <w:spacing w:after="0" w:line="240" w:lineRule="auto"/>
        <w:jc w:val="both"/>
        <w:rPr>
          <w:rFonts w:ascii="Arial" w:eastAsia="Times New Roman" w:hAnsi="Arial" w:cs="Arial"/>
          <w:color w:val="333333"/>
          <w:kern w:val="0"/>
          <w:sz w:val="26"/>
          <w:szCs w:val="26"/>
          <w:lang w:eastAsia="es-UY"/>
          <w14:ligatures w14:val="none"/>
        </w:rPr>
      </w:pPr>
      <w:r w:rsidRPr="00F34C83">
        <w:rPr>
          <w:rFonts w:ascii="Arial" w:eastAsia="Times New Roman" w:hAnsi="Arial" w:cs="Arial"/>
          <w:color w:val="333333"/>
          <w:kern w:val="0"/>
          <w:sz w:val="26"/>
          <w:szCs w:val="26"/>
          <w:lang w:eastAsia="es-UY"/>
          <w14:ligatures w14:val="none"/>
        </w:rPr>
        <w:t>Con </w:t>
      </w:r>
      <w:r w:rsidRPr="00F34C83">
        <w:rPr>
          <w:rFonts w:ascii="Arial" w:eastAsia="Times New Roman" w:hAnsi="Arial" w:cs="Arial"/>
          <w:b/>
          <w:bCs/>
          <w:color w:val="333333"/>
          <w:kern w:val="0"/>
          <w:sz w:val="26"/>
          <w:szCs w:val="26"/>
          <w:lang w:eastAsia="es-UY"/>
          <w14:ligatures w14:val="none"/>
        </w:rPr>
        <w:t>Francisco</w:t>
      </w:r>
      <w:r w:rsidRPr="00F34C83">
        <w:rPr>
          <w:rFonts w:ascii="Arial" w:eastAsia="Times New Roman" w:hAnsi="Arial" w:cs="Arial"/>
          <w:color w:val="333333"/>
          <w:kern w:val="0"/>
          <w:sz w:val="26"/>
          <w:szCs w:val="26"/>
          <w:lang w:eastAsia="es-UY"/>
          <w14:ligatures w14:val="none"/>
        </w:rPr>
        <w:t> pudimos ver hasta qué punto la “cultura americana” es diferente a la cultura europea. El hecho de que la </w:t>
      </w:r>
      <w:r w:rsidRPr="00F34C83">
        <w:rPr>
          <w:rFonts w:ascii="Arial" w:eastAsia="Times New Roman" w:hAnsi="Arial" w:cs="Arial"/>
          <w:b/>
          <w:bCs/>
          <w:color w:val="333333"/>
          <w:kern w:val="0"/>
          <w:sz w:val="26"/>
          <w:szCs w:val="26"/>
          <w:lang w:eastAsia="es-UY"/>
          <w14:ligatures w14:val="none"/>
        </w:rPr>
        <w:t>Iglesia católica</w:t>
      </w:r>
      <w:r w:rsidRPr="00F34C83">
        <w:rPr>
          <w:rFonts w:ascii="Arial" w:eastAsia="Times New Roman" w:hAnsi="Arial" w:cs="Arial"/>
          <w:color w:val="333333"/>
          <w:kern w:val="0"/>
          <w:sz w:val="26"/>
          <w:szCs w:val="26"/>
          <w:lang w:eastAsia="es-UY"/>
          <w14:ligatures w14:val="none"/>
        </w:rPr>
        <w:t> haya comenzado a experimentar, desde </w:t>
      </w:r>
      <w:r w:rsidRPr="00F34C83">
        <w:rPr>
          <w:rFonts w:ascii="Arial" w:eastAsia="Times New Roman" w:hAnsi="Arial" w:cs="Arial"/>
          <w:b/>
          <w:bCs/>
          <w:color w:val="333333"/>
          <w:kern w:val="0"/>
          <w:sz w:val="26"/>
          <w:szCs w:val="26"/>
          <w:lang w:eastAsia="es-UY"/>
          <w14:ligatures w14:val="none"/>
        </w:rPr>
        <w:t>el Vaticano II</w:t>
      </w:r>
      <w:r w:rsidRPr="00F34C83">
        <w:rPr>
          <w:rFonts w:ascii="Arial" w:eastAsia="Times New Roman" w:hAnsi="Arial" w:cs="Arial"/>
          <w:color w:val="333333"/>
          <w:kern w:val="0"/>
          <w:sz w:val="26"/>
          <w:szCs w:val="26"/>
          <w:lang w:eastAsia="es-UY"/>
          <w14:ligatures w14:val="none"/>
        </w:rPr>
        <w:t> , el ser una Iglesia “en los cinco continentes” ha profundizado mucho la sensibilidad respecto a una necesaria inculturación de la fe, del culto, de la forma jurídica y de las formas de vida eclesial. </w:t>
      </w:r>
    </w:p>
    <w:p w14:paraId="047D4C80" w14:textId="77777777" w:rsidR="00F34C83" w:rsidRPr="00F34C83" w:rsidRDefault="00F34C83" w:rsidP="00F34C83">
      <w:pPr>
        <w:spacing w:after="0" w:line="240" w:lineRule="auto"/>
        <w:jc w:val="both"/>
        <w:rPr>
          <w:rFonts w:ascii="Arial" w:eastAsia="Times New Roman" w:hAnsi="Arial" w:cs="Arial"/>
          <w:color w:val="333333"/>
          <w:kern w:val="0"/>
          <w:sz w:val="26"/>
          <w:szCs w:val="26"/>
          <w:lang w:eastAsia="es-UY"/>
          <w14:ligatures w14:val="none"/>
        </w:rPr>
      </w:pPr>
    </w:p>
    <w:p w14:paraId="07584DEC" w14:textId="77777777" w:rsidR="00F34C83" w:rsidRDefault="00F34C83" w:rsidP="00F34C83">
      <w:pPr>
        <w:spacing w:after="0" w:line="240" w:lineRule="auto"/>
        <w:jc w:val="both"/>
        <w:rPr>
          <w:rFonts w:ascii="Arial" w:eastAsia="Times New Roman" w:hAnsi="Arial" w:cs="Arial"/>
          <w:color w:val="333333"/>
          <w:kern w:val="0"/>
          <w:sz w:val="26"/>
          <w:szCs w:val="26"/>
          <w:lang w:eastAsia="es-UY"/>
          <w14:ligatures w14:val="none"/>
        </w:rPr>
      </w:pPr>
      <w:r w:rsidRPr="00F34C83">
        <w:rPr>
          <w:rFonts w:ascii="Arial" w:eastAsia="Times New Roman" w:hAnsi="Arial" w:cs="Arial"/>
          <w:color w:val="333333"/>
          <w:kern w:val="0"/>
          <w:sz w:val="26"/>
          <w:szCs w:val="26"/>
          <w:lang w:eastAsia="es-UY"/>
          <w14:ligatures w14:val="none"/>
        </w:rPr>
        <w:t>Aunque es un proceso lento y gradual, vemos una aceleración sorprendente debido al simple hecho de que un Papa interpreta su propio ministerio a través de una cultura distinta a la europea. Se trata de un acontecimiento teológico de primera magnitud, aunque queramos ocultarlo con las fáciles “reducciones” de </w:t>
      </w:r>
      <w:r w:rsidRPr="00F34C83">
        <w:rPr>
          <w:rFonts w:ascii="Arial" w:eastAsia="Times New Roman" w:hAnsi="Arial" w:cs="Arial"/>
          <w:b/>
          <w:bCs/>
          <w:color w:val="333333"/>
          <w:kern w:val="0"/>
          <w:sz w:val="26"/>
          <w:szCs w:val="26"/>
          <w:lang w:eastAsia="es-UY"/>
          <w14:ligatures w14:val="none"/>
        </w:rPr>
        <w:t>Francisco</w:t>
      </w:r>
      <w:r w:rsidRPr="00F34C83">
        <w:rPr>
          <w:rFonts w:ascii="Arial" w:eastAsia="Times New Roman" w:hAnsi="Arial" w:cs="Arial"/>
          <w:color w:val="333333"/>
          <w:kern w:val="0"/>
          <w:sz w:val="26"/>
          <w:szCs w:val="26"/>
          <w:lang w:eastAsia="es-UY"/>
          <w14:ligatures w14:val="none"/>
        </w:rPr>
        <w:t> a un “italiano de acento extraño” y, en todo caso, de origen piamontés. </w:t>
      </w:r>
    </w:p>
    <w:p w14:paraId="6B1FE335" w14:textId="77777777" w:rsidR="00F34C83" w:rsidRPr="00F34C83" w:rsidRDefault="00F34C83" w:rsidP="00F34C83">
      <w:pPr>
        <w:spacing w:after="0" w:line="240" w:lineRule="auto"/>
        <w:jc w:val="both"/>
        <w:rPr>
          <w:rFonts w:ascii="Arial" w:eastAsia="Times New Roman" w:hAnsi="Arial" w:cs="Arial"/>
          <w:color w:val="333333"/>
          <w:kern w:val="0"/>
          <w:sz w:val="26"/>
          <w:szCs w:val="26"/>
          <w:lang w:eastAsia="es-UY"/>
          <w14:ligatures w14:val="none"/>
        </w:rPr>
      </w:pPr>
    </w:p>
    <w:p w14:paraId="61B20CD5" w14:textId="77777777" w:rsidR="00F34C83" w:rsidRDefault="00F34C83" w:rsidP="00F34C83">
      <w:pPr>
        <w:spacing w:after="0" w:line="240" w:lineRule="auto"/>
        <w:jc w:val="both"/>
        <w:rPr>
          <w:rFonts w:ascii="Arial" w:eastAsia="Times New Roman" w:hAnsi="Arial" w:cs="Arial"/>
          <w:color w:val="333333"/>
          <w:kern w:val="0"/>
          <w:sz w:val="26"/>
          <w:szCs w:val="26"/>
          <w:lang w:eastAsia="es-UY"/>
          <w14:ligatures w14:val="none"/>
        </w:rPr>
      </w:pPr>
      <w:r w:rsidRPr="00F34C83">
        <w:rPr>
          <w:rFonts w:ascii="Arial" w:eastAsia="Times New Roman" w:hAnsi="Arial" w:cs="Arial"/>
          <w:color w:val="333333"/>
          <w:kern w:val="0"/>
          <w:sz w:val="26"/>
          <w:szCs w:val="26"/>
          <w:lang w:eastAsia="es-UY"/>
          <w14:ligatures w14:val="none"/>
        </w:rPr>
        <w:t>En realidad, su comprensión del mundo y su tradición están marcadas por una tierra a 10.000 kilómetros de </w:t>
      </w:r>
      <w:r w:rsidRPr="00F34C83">
        <w:rPr>
          <w:rFonts w:ascii="Arial" w:eastAsia="Times New Roman" w:hAnsi="Arial" w:cs="Arial"/>
          <w:b/>
          <w:bCs/>
          <w:color w:val="333333"/>
          <w:kern w:val="0"/>
          <w:sz w:val="26"/>
          <w:szCs w:val="26"/>
          <w:lang w:eastAsia="es-UY"/>
          <w14:ligatures w14:val="none"/>
        </w:rPr>
        <w:t>Roma</w:t>
      </w:r>
      <w:r w:rsidRPr="00F34C83">
        <w:rPr>
          <w:rFonts w:ascii="Arial" w:eastAsia="Times New Roman" w:hAnsi="Arial" w:cs="Arial"/>
          <w:color w:val="333333"/>
          <w:kern w:val="0"/>
          <w:sz w:val="26"/>
          <w:szCs w:val="26"/>
          <w:lang w:eastAsia="es-UY"/>
          <w14:ligatures w14:val="none"/>
        </w:rPr>
        <w:t> , donde las estaciones están invertidas. Se trata de un hecho que innova profundamente la tradición del papado. </w:t>
      </w:r>
    </w:p>
    <w:p w14:paraId="065EAA80" w14:textId="77777777" w:rsidR="00F34C83" w:rsidRPr="00F34C83" w:rsidRDefault="00F34C83" w:rsidP="00F34C83">
      <w:pPr>
        <w:spacing w:after="0" w:line="240" w:lineRule="auto"/>
        <w:jc w:val="both"/>
        <w:rPr>
          <w:rFonts w:ascii="Arial" w:eastAsia="Times New Roman" w:hAnsi="Arial" w:cs="Arial"/>
          <w:color w:val="333333"/>
          <w:kern w:val="0"/>
          <w:sz w:val="26"/>
          <w:szCs w:val="26"/>
          <w:lang w:eastAsia="es-UY"/>
          <w14:ligatures w14:val="none"/>
        </w:rPr>
      </w:pPr>
    </w:p>
    <w:p w14:paraId="06A326C4" w14:textId="77777777" w:rsidR="00F34C83" w:rsidRDefault="00F34C83" w:rsidP="00F34C83">
      <w:pPr>
        <w:spacing w:after="0" w:line="240" w:lineRule="auto"/>
        <w:jc w:val="both"/>
        <w:outlineLvl w:val="1"/>
        <w:rPr>
          <w:rFonts w:ascii="Arial" w:eastAsia="Times New Roman" w:hAnsi="Arial" w:cs="Arial"/>
          <w:b/>
          <w:bCs/>
          <w:color w:val="333333"/>
          <w:kern w:val="0"/>
          <w:sz w:val="36"/>
          <w:szCs w:val="36"/>
          <w:lang w:eastAsia="es-UY"/>
          <w14:ligatures w14:val="none"/>
        </w:rPr>
      </w:pPr>
      <w:r w:rsidRPr="00F34C83">
        <w:rPr>
          <w:rFonts w:ascii="Arial" w:eastAsia="Times New Roman" w:hAnsi="Arial" w:cs="Arial"/>
          <w:b/>
          <w:bCs/>
          <w:color w:val="333333"/>
          <w:kern w:val="0"/>
          <w:sz w:val="36"/>
          <w:szCs w:val="36"/>
          <w:lang w:eastAsia="es-UY"/>
          <w14:ligatures w14:val="none"/>
        </w:rPr>
        <w:lastRenderedPageBreak/>
        <w:t>4. El primer papa “jesuita”</w:t>
      </w:r>
    </w:p>
    <w:p w14:paraId="52D65225" w14:textId="77777777" w:rsidR="00F34C83" w:rsidRPr="00F34C83" w:rsidRDefault="00F34C83" w:rsidP="00F34C83">
      <w:pPr>
        <w:spacing w:after="0" w:line="240" w:lineRule="auto"/>
        <w:jc w:val="both"/>
        <w:outlineLvl w:val="1"/>
        <w:rPr>
          <w:rFonts w:ascii="Arial" w:eastAsia="Times New Roman" w:hAnsi="Arial" w:cs="Arial"/>
          <w:b/>
          <w:bCs/>
          <w:color w:val="333333"/>
          <w:kern w:val="0"/>
          <w:sz w:val="36"/>
          <w:szCs w:val="36"/>
          <w:lang w:eastAsia="es-UY"/>
          <w14:ligatures w14:val="none"/>
        </w:rPr>
      </w:pPr>
    </w:p>
    <w:p w14:paraId="3C12E972" w14:textId="77777777" w:rsidR="00F34C83" w:rsidRDefault="00F34C83" w:rsidP="00F34C83">
      <w:pPr>
        <w:spacing w:after="0" w:line="240" w:lineRule="auto"/>
        <w:jc w:val="both"/>
        <w:rPr>
          <w:rFonts w:ascii="Arial" w:eastAsia="Times New Roman" w:hAnsi="Arial" w:cs="Arial"/>
          <w:color w:val="333333"/>
          <w:kern w:val="0"/>
          <w:sz w:val="26"/>
          <w:szCs w:val="26"/>
          <w:lang w:eastAsia="es-UY"/>
          <w14:ligatures w14:val="none"/>
        </w:rPr>
      </w:pPr>
      <w:r w:rsidRPr="00F34C83">
        <w:rPr>
          <w:rFonts w:ascii="Arial" w:eastAsia="Times New Roman" w:hAnsi="Arial" w:cs="Arial"/>
          <w:color w:val="333333"/>
          <w:kern w:val="0"/>
          <w:sz w:val="26"/>
          <w:szCs w:val="26"/>
          <w:lang w:eastAsia="es-UY"/>
          <w14:ligatures w14:val="none"/>
        </w:rPr>
        <w:t>Un último aspecto de novedad es el carácter “religioso” del cardenal </w:t>
      </w:r>
      <w:r w:rsidRPr="00F34C83">
        <w:rPr>
          <w:rFonts w:ascii="Arial" w:eastAsia="Times New Roman" w:hAnsi="Arial" w:cs="Arial"/>
          <w:b/>
          <w:bCs/>
          <w:color w:val="333333"/>
          <w:kern w:val="0"/>
          <w:sz w:val="26"/>
          <w:szCs w:val="26"/>
          <w:lang w:eastAsia="es-UY"/>
          <w14:ligatures w14:val="none"/>
        </w:rPr>
        <w:t>Bergoglio</w:t>
      </w:r>
      <w:r w:rsidRPr="00F34C83">
        <w:rPr>
          <w:rFonts w:ascii="Arial" w:eastAsia="Times New Roman" w:hAnsi="Arial" w:cs="Arial"/>
          <w:color w:val="333333"/>
          <w:kern w:val="0"/>
          <w:sz w:val="26"/>
          <w:szCs w:val="26"/>
          <w:lang w:eastAsia="es-UY"/>
          <w14:ligatures w14:val="none"/>
        </w:rPr>
        <w:t> , el primer jesuita convertido en Papa. Este hecho trajo a su ministerio un toque de novedad ligado al modo de pensar, orar, ejercer la misericordia, celebrar y administrar, característico de la tradición ignaciana. </w:t>
      </w:r>
    </w:p>
    <w:p w14:paraId="1DFC55AF" w14:textId="77777777" w:rsidR="00F34C83" w:rsidRPr="00F34C83" w:rsidRDefault="00F34C83" w:rsidP="00F34C83">
      <w:pPr>
        <w:spacing w:after="0" w:line="240" w:lineRule="auto"/>
        <w:jc w:val="both"/>
        <w:rPr>
          <w:rFonts w:ascii="Arial" w:eastAsia="Times New Roman" w:hAnsi="Arial" w:cs="Arial"/>
          <w:color w:val="333333"/>
          <w:kern w:val="0"/>
          <w:sz w:val="26"/>
          <w:szCs w:val="26"/>
          <w:lang w:eastAsia="es-UY"/>
          <w14:ligatures w14:val="none"/>
        </w:rPr>
      </w:pPr>
    </w:p>
    <w:p w14:paraId="3C9295C1" w14:textId="77777777" w:rsidR="00F34C83" w:rsidRDefault="00F34C83" w:rsidP="00F34C83">
      <w:pPr>
        <w:spacing w:after="0" w:line="240" w:lineRule="auto"/>
        <w:jc w:val="both"/>
        <w:rPr>
          <w:rFonts w:ascii="Arial" w:eastAsia="Times New Roman" w:hAnsi="Arial" w:cs="Arial"/>
          <w:color w:val="333333"/>
          <w:kern w:val="0"/>
          <w:sz w:val="26"/>
          <w:szCs w:val="26"/>
          <w:lang w:eastAsia="es-UY"/>
          <w14:ligatures w14:val="none"/>
        </w:rPr>
      </w:pPr>
      <w:r w:rsidRPr="00F34C83">
        <w:rPr>
          <w:rFonts w:ascii="Arial" w:eastAsia="Times New Roman" w:hAnsi="Arial" w:cs="Arial"/>
          <w:color w:val="333333"/>
          <w:kern w:val="0"/>
          <w:sz w:val="26"/>
          <w:szCs w:val="26"/>
          <w:lang w:eastAsia="es-UY"/>
          <w14:ligatures w14:val="none"/>
        </w:rPr>
        <w:t xml:space="preserve">Teológicamente es muy interesante descubrir cómo el primado de la misericordia –que es ciertamente uno de los rasgos distintivos de su pontificado– estuvo mediado por una línea de interpretación de la misericordia (en el ámbito sacramental y </w:t>
      </w:r>
      <w:proofErr w:type="spellStart"/>
      <w:r w:rsidRPr="00F34C83">
        <w:rPr>
          <w:rFonts w:ascii="Arial" w:eastAsia="Times New Roman" w:hAnsi="Arial" w:cs="Arial"/>
          <w:color w:val="333333"/>
          <w:kern w:val="0"/>
          <w:sz w:val="26"/>
          <w:szCs w:val="26"/>
          <w:lang w:eastAsia="es-UY"/>
          <w14:ligatures w14:val="none"/>
        </w:rPr>
        <w:t>extrasacramental</w:t>
      </w:r>
      <w:proofErr w:type="spellEnd"/>
      <w:r w:rsidRPr="00F34C83">
        <w:rPr>
          <w:rFonts w:ascii="Arial" w:eastAsia="Times New Roman" w:hAnsi="Arial" w:cs="Arial"/>
          <w:color w:val="333333"/>
          <w:kern w:val="0"/>
          <w:sz w:val="26"/>
          <w:szCs w:val="26"/>
          <w:lang w:eastAsia="es-UY"/>
          <w14:ligatures w14:val="none"/>
        </w:rPr>
        <w:t>) que se remonta fácilmente a la “casuística” jesuita. Encontramos huellas de ello en el modo de abordar las cuestiones relativas al sacramento de la penitencia o al sacramento del matrimonio. </w:t>
      </w:r>
    </w:p>
    <w:p w14:paraId="042BE444" w14:textId="77777777" w:rsidR="00F34C83" w:rsidRPr="00F34C83" w:rsidRDefault="00F34C83" w:rsidP="00F34C83">
      <w:pPr>
        <w:spacing w:after="0" w:line="240" w:lineRule="auto"/>
        <w:jc w:val="both"/>
        <w:rPr>
          <w:rFonts w:ascii="Arial" w:eastAsia="Times New Roman" w:hAnsi="Arial" w:cs="Arial"/>
          <w:color w:val="333333"/>
          <w:kern w:val="0"/>
          <w:sz w:val="26"/>
          <w:szCs w:val="26"/>
          <w:lang w:eastAsia="es-UY"/>
          <w14:ligatures w14:val="none"/>
        </w:rPr>
      </w:pPr>
    </w:p>
    <w:p w14:paraId="5E87D0B2" w14:textId="77777777" w:rsidR="00F34C83" w:rsidRDefault="00F34C83" w:rsidP="00F34C83">
      <w:pPr>
        <w:spacing w:after="0" w:line="240" w:lineRule="auto"/>
        <w:jc w:val="both"/>
        <w:rPr>
          <w:rFonts w:ascii="Arial" w:eastAsia="Times New Roman" w:hAnsi="Arial" w:cs="Arial"/>
          <w:color w:val="333333"/>
          <w:kern w:val="0"/>
          <w:sz w:val="26"/>
          <w:szCs w:val="26"/>
          <w:lang w:eastAsia="es-UY"/>
          <w14:ligatures w14:val="none"/>
        </w:rPr>
      </w:pPr>
      <w:r w:rsidRPr="00F34C83">
        <w:rPr>
          <w:rFonts w:ascii="Arial" w:eastAsia="Times New Roman" w:hAnsi="Arial" w:cs="Arial"/>
          <w:color w:val="333333"/>
          <w:kern w:val="0"/>
          <w:sz w:val="26"/>
          <w:szCs w:val="26"/>
          <w:lang w:eastAsia="es-UY"/>
          <w14:ligatures w14:val="none"/>
        </w:rPr>
        <w:t>Esto no impidió que </w:t>
      </w:r>
      <w:r w:rsidRPr="00F34C83">
        <w:rPr>
          <w:rFonts w:ascii="Arial" w:eastAsia="Times New Roman" w:hAnsi="Arial" w:cs="Arial"/>
          <w:b/>
          <w:bCs/>
          <w:color w:val="333333"/>
          <w:kern w:val="0"/>
          <w:sz w:val="26"/>
          <w:szCs w:val="26"/>
          <w:lang w:eastAsia="es-UY"/>
          <w14:ligatures w14:val="none"/>
        </w:rPr>
        <w:t>Francisco</w:t>
      </w:r>
      <w:r w:rsidRPr="00F34C83">
        <w:rPr>
          <w:rFonts w:ascii="Arial" w:eastAsia="Times New Roman" w:hAnsi="Arial" w:cs="Arial"/>
          <w:color w:val="333333"/>
          <w:kern w:val="0"/>
          <w:sz w:val="26"/>
          <w:szCs w:val="26"/>
          <w:lang w:eastAsia="es-UY"/>
          <w14:ligatures w14:val="none"/>
        </w:rPr>
        <w:t> escribiera una carta apostólica para celebrar </w:t>
      </w:r>
      <w:r w:rsidRPr="00F34C83">
        <w:rPr>
          <w:rFonts w:ascii="Arial" w:eastAsia="Times New Roman" w:hAnsi="Arial" w:cs="Arial"/>
          <w:b/>
          <w:bCs/>
          <w:color w:val="333333"/>
          <w:kern w:val="0"/>
          <w:sz w:val="26"/>
          <w:szCs w:val="26"/>
          <w:lang w:eastAsia="es-UY"/>
          <w14:ligatures w14:val="none"/>
        </w:rPr>
        <w:t>a Blas Pascal</w:t>
      </w:r>
      <w:r w:rsidRPr="00F34C83">
        <w:rPr>
          <w:rFonts w:ascii="Arial" w:eastAsia="Times New Roman" w:hAnsi="Arial" w:cs="Arial"/>
          <w:color w:val="333333"/>
          <w:kern w:val="0"/>
          <w:sz w:val="26"/>
          <w:szCs w:val="26"/>
          <w:lang w:eastAsia="es-UY"/>
          <w14:ligatures w14:val="none"/>
        </w:rPr>
        <w:t> en el cuarto centenario de su nacimiento ( </w:t>
      </w:r>
      <w:r w:rsidRPr="00F34C83">
        <w:rPr>
          <w:rFonts w:ascii="Arial" w:eastAsia="Times New Roman" w:hAnsi="Arial" w:cs="Arial"/>
          <w:i/>
          <w:iCs/>
          <w:color w:val="333333"/>
          <w:kern w:val="0"/>
          <w:sz w:val="26"/>
          <w:szCs w:val="26"/>
          <w:lang w:eastAsia="es-UY"/>
          <w14:ligatures w14:val="none"/>
        </w:rPr>
        <w:t>Sublimitas et miseria hominis</w:t>
      </w:r>
      <w:r w:rsidRPr="00F34C83">
        <w:rPr>
          <w:rFonts w:ascii="Arial" w:eastAsia="Times New Roman" w:hAnsi="Arial" w:cs="Arial"/>
          <w:color w:val="333333"/>
          <w:kern w:val="0"/>
          <w:sz w:val="26"/>
          <w:szCs w:val="26"/>
          <w:lang w:eastAsia="es-UY"/>
          <w14:ligatures w14:val="none"/>
        </w:rPr>
        <w:t> ). </w:t>
      </w:r>
    </w:p>
    <w:p w14:paraId="238D7CCC" w14:textId="77777777" w:rsidR="00F34C83" w:rsidRPr="00F34C83" w:rsidRDefault="00F34C83" w:rsidP="00F34C83">
      <w:pPr>
        <w:spacing w:after="0" w:line="240" w:lineRule="auto"/>
        <w:jc w:val="both"/>
        <w:rPr>
          <w:rFonts w:ascii="Arial" w:eastAsia="Times New Roman" w:hAnsi="Arial" w:cs="Arial"/>
          <w:color w:val="333333"/>
          <w:kern w:val="0"/>
          <w:sz w:val="26"/>
          <w:szCs w:val="26"/>
          <w:lang w:eastAsia="es-UY"/>
          <w14:ligatures w14:val="none"/>
        </w:rPr>
      </w:pPr>
    </w:p>
    <w:p w14:paraId="1B5E36BA" w14:textId="77777777" w:rsidR="00F34C83" w:rsidRPr="00F34C83" w:rsidRDefault="00F34C83" w:rsidP="00F34C83">
      <w:pPr>
        <w:spacing w:after="0" w:line="240" w:lineRule="auto"/>
        <w:jc w:val="both"/>
        <w:rPr>
          <w:rFonts w:ascii="Arial" w:eastAsia="Times New Roman" w:hAnsi="Arial" w:cs="Arial"/>
          <w:color w:val="333333"/>
          <w:kern w:val="0"/>
          <w:sz w:val="26"/>
          <w:szCs w:val="26"/>
          <w:lang w:eastAsia="es-UY"/>
          <w14:ligatures w14:val="none"/>
        </w:rPr>
      </w:pPr>
      <w:r w:rsidRPr="00F34C83">
        <w:rPr>
          <w:rFonts w:ascii="Arial" w:eastAsia="Times New Roman" w:hAnsi="Arial" w:cs="Arial"/>
          <w:color w:val="333333"/>
          <w:kern w:val="0"/>
          <w:sz w:val="26"/>
          <w:szCs w:val="26"/>
          <w:lang w:eastAsia="es-UY"/>
          <w14:ligatures w14:val="none"/>
        </w:rPr>
        <w:t>Estos cuatro puntos, en relación entre sí, nos permiten evaluar estos 12 años de pontificado como un acontecimiento que puede ser muy interesante de estudiar desde una perspectiva exquisitamente teológica.</w:t>
      </w:r>
    </w:p>
    <w:p w14:paraId="33BA1293" w14:textId="77777777" w:rsidR="00926044" w:rsidRDefault="00926044"/>
    <w:p w14:paraId="5D01B337" w14:textId="46D93698" w:rsidR="00F34C83" w:rsidRDefault="00F34C83">
      <w:hyperlink r:id="rId14" w:history="1">
        <w:r w:rsidRPr="00B30839">
          <w:rPr>
            <w:rStyle w:val="Hipervnculo"/>
          </w:rPr>
          <w:t>https://www.ihu.unisinos.br/649460-o-primeiro-papa-filho-do-vaticano-ii-12-anos-depois-artigo-de-andrea-grillo?utm_campaign=newsletter_ihu__17-03-2025&amp;utm_medium=email&amp;utm_source=RD+Station</w:t>
        </w:r>
      </w:hyperlink>
    </w:p>
    <w:p w14:paraId="268DB70C" w14:textId="77777777" w:rsidR="00F34C83" w:rsidRDefault="00F34C83"/>
    <w:sectPr w:rsidR="00F34C8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01219E"/>
    <w:multiLevelType w:val="hybridMultilevel"/>
    <w:tmpl w:val="D8E8E852"/>
    <w:lvl w:ilvl="0" w:tplc="AA90E53C">
      <w:start w:val="1"/>
      <w:numFmt w:val="decimal"/>
      <w:lvlText w:val="%1."/>
      <w:lvlJc w:val="left"/>
      <w:pPr>
        <w:ind w:left="760" w:hanging="40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num w:numId="1" w16cid:durableId="1625308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C83"/>
    <w:rsid w:val="005A4122"/>
    <w:rsid w:val="00926044"/>
    <w:rsid w:val="00DE17AC"/>
    <w:rsid w:val="00F34C83"/>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D7ADA"/>
  <w15:chartTrackingRefBased/>
  <w15:docId w15:val="{1422219C-4F76-4E7E-860F-1407F77D3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34C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34C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34C8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34C8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34C8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34C8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34C8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34C8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34C8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34C8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34C8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34C8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34C8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34C8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34C8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34C8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34C8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34C83"/>
    <w:rPr>
      <w:rFonts w:eastAsiaTheme="majorEastAsia" w:cstheme="majorBidi"/>
      <w:color w:val="272727" w:themeColor="text1" w:themeTint="D8"/>
    </w:rPr>
  </w:style>
  <w:style w:type="paragraph" w:styleId="Ttulo">
    <w:name w:val="Title"/>
    <w:basedOn w:val="Normal"/>
    <w:next w:val="Normal"/>
    <w:link w:val="TtuloCar"/>
    <w:uiPriority w:val="10"/>
    <w:qFormat/>
    <w:rsid w:val="00F34C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34C8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34C8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34C8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34C83"/>
    <w:pPr>
      <w:spacing w:before="160"/>
      <w:jc w:val="center"/>
    </w:pPr>
    <w:rPr>
      <w:i/>
      <w:iCs/>
      <w:color w:val="404040" w:themeColor="text1" w:themeTint="BF"/>
    </w:rPr>
  </w:style>
  <w:style w:type="character" w:customStyle="1" w:styleId="CitaCar">
    <w:name w:val="Cita Car"/>
    <w:basedOn w:val="Fuentedeprrafopredeter"/>
    <w:link w:val="Cita"/>
    <w:uiPriority w:val="29"/>
    <w:rsid w:val="00F34C83"/>
    <w:rPr>
      <w:i/>
      <w:iCs/>
      <w:color w:val="404040" w:themeColor="text1" w:themeTint="BF"/>
    </w:rPr>
  </w:style>
  <w:style w:type="paragraph" w:styleId="Prrafodelista">
    <w:name w:val="List Paragraph"/>
    <w:basedOn w:val="Normal"/>
    <w:uiPriority w:val="34"/>
    <w:qFormat/>
    <w:rsid w:val="00F34C83"/>
    <w:pPr>
      <w:ind w:left="720"/>
      <w:contextualSpacing/>
    </w:pPr>
  </w:style>
  <w:style w:type="character" w:styleId="nfasisintenso">
    <w:name w:val="Intense Emphasis"/>
    <w:basedOn w:val="Fuentedeprrafopredeter"/>
    <w:uiPriority w:val="21"/>
    <w:qFormat/>
    <w:rsid w:val="00F34C83"/>
    <w:rPr>
      <w:i/>
      <w:iCs/>
      <w:color w:val="0F4761" w:themeColor="accent1" w:themeShade="BF"/>
    </w:rPr>
  </w:style>
  <w:style w:type="paragraph" w:styleId="Citadestacada">
    <w:name w:val="Intense Quote"/>
    <w:basedOn w:val="Normal"/>
    <w:next w:val="Normal"/>
    <w:link w:val="CitadestacadaCar"/>
    <w:uiPriority w:val="30"/>
    <w:qFormat/>
    <w:rsid w:val="00F34C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34C83"/>
    <w:rPr>
      <w:i/>
      <w:iCs/>
      <w:color w:val="0F4761" w:themeColor="accent1" w:themeShade="BF"/>
    </w:rPr>
  </w:style>
  <w:style w:type="character" w:styleId="Referenciaintensa">
    <w:name w:val="Intense Reference"/>
    <w:basedOn w:val="Fuentedeprrafopredeter"/>
    <w:uiPriority w:val="32"/>
    <w:qFormat/>
    <w:rsid w:val="00F34C83"/>
    <w:rPr>
      <w:b/>
      <w:bCs/>
      <w:smallCaps/>
      <w:color w:val="0F4761" w:themeColor="accent1" w:themeShade="BF"/>
      <w:spacing w:val="5"/>
    </w:rPr>
  </w:style>
  <w:style w:type="character" w:styleId="Hipervnculo">
    <w:name w:val="Hyperlink"/>
    <w:basedOn w:val="Fuentedeprrafopredeter"/>
    <w:uiPriority w:val="99"/>
    <w:unhideWhenUsed/>
    <w:rsid w:val="00F34C83"/>
    <w:rPr>
      <w:color w:val="467886" w:themeColor="hyperlink"/>
      <w:u w:val="single"/>
    </w:rPr>
  </w:style>
  <w:style w:type="character" w:styleId="Mencinsinresolver">
    <w:name w:val="Unresolved Mention"/>
    <w:basedOn w:val="Fuentedeprrafopredeter"/>
    <w:uiPriority w:val="99"/>
    <w:semiHidden/>
    <w:unhideWhenUsed/>
    <w:rsid w:val="00F34C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44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629303-joao-xxiii-morria-ha-60-anos-sua-%20vida-pela-igreja-e-pela-paz" TargetMode="External"/><Relationship Id="rId13" Type="http://schemas.openxmlformats.org/officeDocument/2006/relationships/hyperlink" Target="https://ihu.unisinos.br/categorias/603351-vaticano-ii-historia-teologia-e-desafios" TargetMode="External"/><Relationship Id="rId3" Type="http://schemas.openxmlformats.org/officeDocument/2006/relationships/settings" Target="settings.xml"/><Relationship Id="rId7" Type="http://schemas.openxmlformats.org/officeDocument/2006/relationships/hyperlink" Target="https://www.ihu.unisinos.br/Papa%20Francisco:%20uma%20voz%20que%20clama%20no%20deserto.%20Artigo%20de%20Gabriel%20Vilardi" TargetMode="External"/><Relationship Id="rId12" Type="http://schemas.openxmlformats.org/officeDocument/2006/relationships/hyperlink" Target="https://www.ihu.unisinos.br/categorias/616939-bento-xvi-a-vid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ihu.unisinos.br/categorias/644158-francisco-e-as-mulheres-palavras-infelizes-artigo-de-andrea-grillo" TargetMode="External"/><Relationship Id="rId11" Type="http://schemas.openxmlformats.org/officeDocument/2006/relationships/hyperlink" Target="https://www.ihu.unisinos.br/categorias/626982-joao-paulo-ii-e-realmente-santo"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ihu.unisinos.br/categorias/619306-joao-paulo-i-o-papa-sem-coroa-seus-33-dias-como-pontifice-no-relato-de-vian" TargetMode="External"/><Relationship Id="rId4" Type="http://schemas.openxmlformats.org/officeDocument/2006/relationships/webSettings" Target="webSettings.xml"/><Relationship Id="rId9" Type="http://schemas.openxmlformats.org/officeDocument/2006/relationships/hyperlink" Target="https://www.ihu.unisinos.br/categorias/591518-paulo-vi-o-santo-papa-que-relancou-a-igreja" TargetMode="External"/><Relationship Id="rId14" Type="http://schemas.openxmlformats.org/officeDocument/2006/relationships/hyperlink" Target="https://www.ihu.unisinos.br/649460-o-primeiro-papa-filho-do-vaticano-ii-12-anos-depois-artigo-de-andrea-grillo?utm_campaign=newsletter_ihu__17-03-2025&amp;utm_medium=email&amp;utm_source=RD+Stat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946</Words>
  <Characters>5208</Characters>
  <Application>Microsoft Office Word</Application>
  <DocSecurity>0</DocSecurity>
  <Lines>43</Lines>
  <Paragraphs>12</Paragraphs>
  <ScaleCrop>false</ScaleCrop>
  <Company/>
  <LinksUpToDate>false</LinksUpToDate>
  <CharactersWithSpaces>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2025-03-17T20:14:00Z</dcterms:created>
  <dcterms:modified xsi:type="dcterms:W3CDTF">2025-03-17T20:15:00Z</dcterms:modified>
</cp:coreProperties>
</file>