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D2B4" w14:textId="77777777" w:rsidR="003E63FD" w:rsidRPr="003E63FD" w:rsidRDefault="003E63FD" w:rsidP="003E63FD">
      <w:pPr>
        <w:shd w:val="clear" w:color="auto" w:fill="FFCB9E"/>
        <w:spacing w:after="0" w:line="240" w:lineRule="auto"/>
        <w:jc w:val="center"/>
        <w:outlineLvl w:val="1"/>
        <w:rPr>
          <w:rFonts w:ascii="Tahoma" w:eastAsia="Times New Roman" w:hAnsi="Tahoma" w:cs="Tahoma"/>
          <w:b/>
          <w:bCs/>
          <w:color w:val="FF0000"/>
          <w:kern w:val="0"/>
          <w:sz w:val="29"/>
          <w:szCs w:val="29"/>
          <w:lang w:eastAsia="es-UY"/>
          <w14:ligatures w14:val="none"/>
        </w:rPr>
      </w:pPr>
      <w:r w:rsidRPr="003E63FD">
        <w:rPr>
          <w:rFonts w:ascii="Tahoma" w:eastAsia="Times New Roman" w:hAnsi="Tahoma" w:cs="Tahoma"/>
          <w:b/>
          <w:bCs/>
          <w:color w:val="FF0000"/>
          <w:kern w:val="0"/>
          <w:sz w:val="29"/>
          <w:szCs w:val="29"/>
          <w:lang w:eastAsia="es-UY"/>
          <w14:ligatures w14:val="none"/>
        </w:rPr>
        <w:t>DEJARNOS TRANSFIGURAR</w:t>
      </w:r>
    </w:p>
    <w:p w14:paraId="495F361B" w14:textId="77777777" w:rsidR="003E63FD" w:rsidRPr="003E63FD" w:rsidRDefault="003E63FD" w:rsidP="003E63FD">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3E63FD">
          <w:rPr>
            <w:rFonts w:ascii="Tahoma" w:eastAsia="Times New Roman" w:hAnsi="Tahoma" w:cs="Tahoma"/>
            <w:b/>
            <w:bCs/>
            <w:color w:val="483D34"/>
            <w:kern w:val="0"/>
            <w:sz w:val="23"/>
            <w:szCs w:val="23"/>
            <w:u w:val="single"/>
            <w:lang w:eastAsia="es-UY"/>
            <w14:ligatures w14:val="none"/>
          </w:rPr>
          <w:t>Pepa Torres</w:t>
        </w:r>
      </w:hyperlink>
    </w:p>
    <w:p w14:paraId="1DEA030C" w14:textId="77777777" w:rsidR="003E63FD" w:rsidRDefault="003E63FD" w:rsidP="003E63FD">
      <w:pPr>
        <w:shd w:val="clear" w:color="auto" w:fill="FFCB9E"/>
        <w:spacing w:after="180" w:line="240" w:lineRule="auto"/>
        <w:jc w:val="both"/>
        <w:rPr>
          <w:rFonts w:ascii="Tahoma" w:eastAsia="Times New Roman" w:hAnsi="Tahoma" w:cs="Tahoma"/>
          <w:b/>
          <w:bCs/>
          <w:color w:val="483D34"/>
          <w:kern w:val="0"/>
          <w:sz w:val="24"/>
          <w:szCs w:val="24"/>
          <w:lang w:eastAsia="es-UY"/>
          <w14:ligatures w14:val="none"/>
        </w:rPr>
      </w:pPr>
    </w:p>
    <w:p w14:paraId="23238C38" w14:textId="01A123E0"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roofErr w:type="spellStart"/>
      <w:r w:rsidRPr="003E63FD">
        <w:rPr>
          <w:rFonts w:ascii="Tahoma" w:eastAsia="Times New Roman" w:hAnsi="Tahoma" w:cs="Tahoma"/>
          <w:b/>
          <w:bCs/>
          <w:color w:val="483D34"/>
          <w:kern w:val="0"/>
          <w:sz w:val="24"/>
          <w:szCs w:val="24"/>
          <w:lang w:eastAsia="es-UY"/>
          <w14:ligatures w14:val="none"/>
        </w:rPr>
        <w:t>Lc</w:t>
      </w:r>
      <w:proofErr w:type="spellEnd"/>
      <w:r w:rsidRPr="003E63FD">
        <w:rPr>
          <w:rFonts w:ascii="Tahoma" w:eastAsia="Times New Roman" w:hAnsi="Tahoma" w:cs="Tahoma"/>
          <w:b/>
          <w:bCs/>
          <w:color w:val="483D34"/>
          <w:kern w:val="0"/>
          <w:sz w:val="24"/>
          <w:szCs w:val="24"/>
          <w:lang w:eastAsia="es-UY"/>
          <w14:ligatures w14:val="none"/>
        </w:rPr>
        <w:t xml:space="preserve"> 9, 28b-36</w:t>
      </w:r>
    </w:p>
    <w:p w14:paraId="25C70B93"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b/>
          <w:bCs/>
          <w:color w:val="483D34"/>
          <w:kern w:val="0"/>
          <w:sz w:val="24"/>
          <w:szCs w:val="24"/>
          <w:lang w:eastAsia="es-UY"/>
          <w14:ligatures w14:val="none"/>
        </w:rPr>
        <w:t>Comentario Evangelio domingo. 16 marzo 2025</w:t>
      </w:r>
    </w:p>
    <w:p w14:paraId="6013C7F7"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El Evangelio de hoy nos remite a una pregunta que frecuentemente las cristianas y los cristianos contemporáneos nos hacemos: ¿Cómo hacer experiencia de Dios en medio del ruido, el ajetreo y los compromisos cotidianos? ¿Cómo vivir la dimensión contemplativa y orante de nuestra fe y dejarnos transfigurar por ella, como le sucedió al propio Jesús y a tantos hombres y mujeres testigos, que nos han precedido?</w:t>
      </w:r>
    </w:p>
    <w:p w14:paraId="71EB2618"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El texto nos da algunas claves para ello.</w:t>
      </w:r>
    </w:p>
    <w:p w14:paraId="65215EFA"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w:t>
      </w:r>
      <w:r w:rsidRPr="003E63FD">
        <w:rPr>
          <w:rFonts w:ascii="Tahoma" w:eastAsia="Times New Roman" w:hAnsi="Tahoma" w:cs="Tahoma"/>
          <w:i/>
          <w:iCs/>
          <w:color w:val="483D34"/>
          <w:kern w:val="0"/>
          <w:sz w:val="24"/>
          <w:szCs w:val="24"/>
          <w:lang w:eastAsia="es-UY"/>
          <w14:ligatures w14:val="none"/>
        </w:rPr>
        <w:t>El cuidado de la dimensión comunitaria</w:t>
      </w:r>
    </w:p>
    <w:p w14:paraId="4C458B30"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Aunque la oración es personal tiene una dimensión comunitaria, una comunidad de sentido y esperanza, que sostiene. Una comunidad, desde la que se clama a Dios conjuntamente, se expresa el anhelo de amor y comunión. Por eso Jesús invita a Pedro a Juan y a Santiago a subir al monte Horeb con Él.</w:t>
      </w:r>
    </w:p>
    <w:p w14:paraId="22F99FA2"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w:t>
      </w:r>
      <w:r w:rsidRPr="003E63FD">
        <w:rPr>
          <w:rFonts w:ascii="Tahoma" w:eastAsia="Times New Roman" w:hAnsi="Tahoma" w:cs="Tahoma"/>
          <w:i/>
          <w:iCs/>
          <w:color w:val="483D34"/>
          <w:kern w:val="0"/>
          <w:sz w:val="24"/>
          <w:szCs w:val="24"/>
          <w:lang w:eastAsia="es-UY"/>
          <w14:ligatures w14:val="none"/>
        </w:rPr>
        <w:t>Dejarse sorprender por las paradojas y la revolución de los adverbios, que propone el Evangelio.</w:t>
      </w:r>
    </w:p>
    <w:p w14:paraId="5D6DD29B"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En la tradición judeocristiana, el monte Horeb es el lugar de la revelación de Dios por excelencia. Lugar de teofanía, donde Dios selló su alianza de amor con Moisés. Sin embargo, desde una perspectiva espiritual “subir al monte Horeb” y contemplar los destellos del Misterio, </w:t>
      </w:r>
      <w:r w:rsidRPr="003E63FD">
        <w:rPr>
          <w:rFonts w:ascii="Tahoma" w:eastAsia="Times New Roman" w:hAnsi="Tahoma" w:cs="Tahoma"/>
          <w:i/>
          <w:iCs/>
          <w:color w:val="483D34"/>
          <w:kern w:val="0"/>
          <w:sz w:val="24"/>
          <w:szCs w:val="24"/>
          <w:lang w:eastAsia="es-UY"/>
          <w14:ligatures w14:val="none"/>
        </w:rPr>
        <w:t>más que ascender</w:t>
      </w:r>
      <w:r w:rsidRPr="003E63FD">
        <w:rPr>
          <w:rFonts w:ascii="Tahoma" w:eastAsia="Times New Roman" w:hAnsi="Tahoma" w:cs="Tahoma"/>
          <w:color w:val="483D34"/>
          <w:kern w:val="0"/>
          <w:sz w:val="24"/>
          <w:szCs w:val="24"/>
          <w:lang w:eastAsia="es-UY"/>
          <w14:ligatures w14:val="none"/>
        </w:rPr>
        <w:t>, implica </w:t>
      </w:r>
      <w:r w:rsidRPr="003E63FD">
        <w:rPr>
          <w:rFonts w:ascii="Tahoma" w:eastAsia="Times New Roman" w:hAnsi="Tahoma" w:cs="Tahoma"/>
          <w:i/>
          <w:iCs/>
          <w:color w:val="483D34"/>
          <w:kern w:val="0"/>
          <w:sz w:val="24"/>
          <w:szCs w:val="24"/>
          <w:lang w:eastAsia="es-UY"/>
          <w14:ligatures w14:val="none"/>
        </w:rPr>
        <w:t>descender. </w:t>
      </w:r>
      <w:r w:rsidRPr="003E63FD">
        <w:rPr>
          <w:rFonts w:ascii="Tahoma" w:eastAsia="Times New Roman" w:hAnsi="Tahoma" w:cs="Tahoma"/>
          <w:color w:val="483D34"/>
          <w:kern w:val="0"/>
          <w:sz w:val="24"/>
          <w:szCs w:val="24"/>
          <w:lang w:eastAsia="es-UY"/>
          <w14:ligatures w14:val="none"/>
        </w:rPr>
        <w:t>La espiritualidad cristiana más que a</w:t>
      </w:r>
      <w:r w:rsidRPr="003E63FD">
        <w:rPr>
          <w:rFonts w:ascii="Tahoma" w:eastAsia="Times New Roman" w:hAnsi="Tahoma" w:cs="Tahoma"/>
          <w:i/>
          <w:iCs/>
          <w:color w:val="483D34"/>
          <w:kern w:val="0"/>
          <w:sz w:val="24"/>
          <w:szCs w:val="24"/>
          <w:lang w:eastAsia="es-UY"/>
          <w14:ligatures w14:val="none"/>
        </w:rPr>
        <w:t> los arriba </w:t>
      </w:r>
      <w:r w:rsidRPr="003E63FD">
        <w:rPr>
          <w:rFonts w:ascii="Tahoma" w:eastAsia="Times New Roman" w:hAnsi="Tahoma" w:cs="Tahoma"/>
          <w:color w:val="483D34"/>
          <w:kern w:val="0"/>
          <w:sz w:val="24"/>
          <w:szCs w:val="24"/>
          <w:lang w:eastAsia="es-UY"/>
          <w14:ligatures w14:val="none"/>
        </w:rPr>
        <w:t>de la historia y la condición humana, remite a</w:t>
      </w:r>
      <w:r w:rsidRPr="003E63FD">
        <w:rPr>
          <w:rFonts w:ascii="Tahoma" w:eastAsia="Times New Roman" w:hAnsi="Tahoma" w:cs="Tahoma"/>
          <w:i/>
          <w:iCs/>
          <w:color w:val="483D34"/>
          <w:kern w:val="0"/>
          <w:sz w:val="24"/>
          <w:szCs w:val="24"/>
          <w:lang w:eastAsia="es-UY"/>
          <w14:ligatures w14:val="none"/>
        </w:rPr>
        <w:t> los abajo. </w:t>
      </w:r>
      <w:r w:rsidRPr="003E63FD">
        <w:rPr>
          <w:rFonts w:ascii="Tahoma" w:eastAsia="Times New Roman" w:hAnsi="Tahoma" w:cs="Tahoma"/>
          <w:color w:val="483D34"/>
          <w:kern w:val="0"/>
          <w:sz w:val="24"/>
          <w:szCs w:val="24"/>
          <w:lang w:eastAsia="es-UY"/>
          <w14:ligatures w14:val="none"/>
        </w:rPr>
        <w:t>Invita a adentrarse en la profundidad del corazón, en la fuente del ser, a aventurarse en su hondura, vivir </w:t>
      </w:r>
      <w:r w:rsidRPr="003E63FD">
        <w:rPr>
          <w:rFonts w:ascii="Tahoma" w:eastAsia="Times New Roman" w:hAnsi="Tahoma" w:cs="Tahoma"/>
          <w:i/>
          <w:iCs/>
          <w:color w:val="483D34"/>
          <w:kern w:val="0"/>
          <w:sz w:val="24"/>
          <w:szCs w:val="24"/>
          <w:lang w:eastAsia="es-UY"/>
          <w14:ligatures w14:val="none"/>
        </w:rPr>
        <w:t>haciendo hoyo</w:t>
      </w:r>
      <w:r w:rsidRPr="003E63FD">
        <w:rPr>
          <w:rFonts w:ascii="Tahoma" w:eastAsia="Times New Roman" w:hAnsi="Tahoma" w:cs="Tahoma"/>
          <w:color w:val="483D34"/>
          <w:kern w:val="0"/>
          <w:sz w:val="24"/>
          <w:szCs w:val="24"/>
          <w:lang w:eastAsia="es-UY"/>
          <w14:ligatures w14:val="none"/>
        </w:rPr>
        <w:t>, traspasando la corteza de la superficialidad, hasta descubrir esa experiencia que tan bellamente expresó Etty Hillesum:</w:t>
      </w:r>
    </w:p>
    <w:p w14:paraId="59356C75"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i/>
          <w:iCs/>
          <w:color w:val="483D34"/>
          <w:kern w:val="0"/>
          <w:sz w:val="24"/>
          <w:szCs w:val="24"/>
          <w:lang w:eastAsia="es-UY"/>
          <w14:ligatures w14:val="none"/>
        </w:rPr>
        <w:t>“Hay en mí un pozo profundo. Y en ese pozo está Dios. A veces consigo llegar a él, pero lo más frecuente es que las piedras y escombros obstruyan el pozo y Dios quede sepultado. Entonces es necesario volver a sacarlo a la luz (...) Voy a ayudarte Dios mío a no apagarte en mí “</w:t>
      </w:r>
    </w:p>
    <w:p w14:paraId="718EB0C6"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“Ascender al Horeb” no es tampoco abstraerse de la realidad, ni idealizarla, sino más bien atreverse, con la ayuda del Espíritu, a perforarla y descubrirla habitada por un Amor que nos trasciende y trasfigura, si así se lo permitimos. Es decir, dejarnos configurar por el Amor, transformándonos internamente (sensibilidad, orientación vital) y externamente (prácticas, relaciones, etc.) para ser cauce de tanto don recibido.</w:t>
      </w:r>
    </w:p>
    <w:p w14:paraId="0A2087D4"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i/>
          <w:iCs/>
          <w:color w:val="483D34"/>
          <w:kern w:val="0"/>
          <w:sz w:val="24"/>
          <w:szCs w:val="24"/>
          <w:lang w:eastAsia="es-UY"/>
          <w14:ligatures w14:val="none"/>
        </w:rPr>
        <w:t>-Participar de la vida de Dios y sus testigos y profetas, dejando que algo de sus vidas impregne las nuestras</w:t>
      </w:r>
    </w:p>
    <w:p w14:paraId="1D079913"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lastRenderedPageBreak/>
        <w:t>La oración es comunicación, es interrelación, es participación de la vida de Dios. Por ello nos conecta también con la larga cadena de hombres y mujeres testigos y profetas que sostienen y acompañan nuestra fe. Expresado en la teología más clásica de la iglesia, la oración nos hace participar de </w:t>
      </w:r>
      <w:r w:rsidRPr="003E63FD">
        <w:rPr>
          <w:rFonts w:ascii="Tahoma" w:eastAsia="Times New Roman" w:hAnsi="Tahoma" w:cs="Tahoma"/>
          <w:i/>
          <w:iCs/>
          <w:color w:val="483D34"/>
          <w:kern w:val="0"/>
          <w:sz w:val="24"/>
          <w:szCs w:val="24"/>
          <w:lang w:eastAsia="es-UY"/>
          <w14:ligatures w14:val="none"/>
        </w:rPr>
        <w:t>la comunión de los santos y santas. </w:t>
      </w:r>
      <w:r w:rsidRPr="003E63FD">
        <w:rPr>
          <w:rFonts w:ascii="Tahoma" w:eastAsia="Times New Roman" w:hAnsi="Tahoma" w:cs="Tahoma"/>
          <w:color w:val="483D34"/>
          <w:kern w:val="0"/>
          <w:sz w:val="24"/>
          <w:szCs w:val="24"/>
          <w:lang w:eastAsia="es-UY"/>
          <w14:ligatures w14:val="none"/>
        </w:rPr>
        <w:t xml:space="preserve">En este sentido nos arraiga en una larga tradición de </w:t>
      </w:r>
      <w:proofErr w:type="gramStart"/>
      <w:r w:rsidRPr="003E63FD">
        <w:rPr>
          <w:rFonts w:ascii="Tahoma" w:eastAsia="Times New Roman" w:hAnsi="Tahoma" w:cs="Tahoma"/>
          <w:color w:val="483D34"/>
          <w:kern w:val="0"/>
          <w:sz w:val="24"/>
          <w:szCs w:val="24"/>
          <w:lang w:eastAsia="es-UY"/>
          <w14:ligatures w14:val="none"/>
        </w:rPr>
        <w:t>buscadores y buscadoras</w:t>
      </w:r>
      <w:proofErr w:type="gramEnd"/>
      <w:r w:rsidRPr="003E63FD">
        <w:rPr>
          <w:rFonts w:ascii="Tahoma" w:eastAsia="Times New Roman" w:hAnsi="Tahoma" w:cs="Tahoma"/>
          <w:color w:val="483D34"/>
          <w:kern w:val="0"/>
          <w:sz w:val="24"/>
          <w:szCs w:val="24"/>
          <w:lang w:eastAsia="es-UY"/>
          <w14:ligatures w14:val="none"/>
        </w:rPr>
        <w:t xml:space="preserve"> comprometidos y comprometidas en hacer histórica la utopía del evangelio. Nos sostiene y alienta </w:t>
      </w:r>
      <w:r w:rsidRPr="003E63FD">
        <w:rPr>
          <w:rFonts w:ascii="Tahoma" w:eastAsia="Times New Roman" w:hAnsi="Tahoma" w:cs="Tahoma"/>
          <w:i/>
          <w:iCs/>
          <w:color w:val="483D34"/>
          <w:kern w:val="0"/>
          <w:sz w:val="24"/>
          <w:szCs w:val="24"/>
          <w:lang w:eastAsia="es-UY"/>
          <w14:ligatures w14:val="none"/>
        </w:rPr>
        <w:t>una inmensa nube de testigos</w:t>
      </w:r>
      <w:r w:rsidRPr="003E63FD">
        <w:rPr>
          <w:rFonts w:ascii="Tahoma" w:eastAsia="Times New Roman" w:hAnsi="Tahoma" w:cs="Tahoma"/>
          <w:color w:val="483D34"/>
          <w:kern w:val="0"/>
          <w:sz w:val="24"/>
          <w:szCs w:val="24"/>
          <w:lang w:eastAsia="es-UY"/>
          <w14:ligatures w14:val="none"/>
        </w:rPr>
        <w:t>.</w:t>
      </w:r>
    </w:p>
    <w:p w14:paraId="47882533"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i/>
          <w:iCs/>
          <w:color w:val="483D34"/>
          <w:kern w:val="0"/>
          <w:sz w:val="24"/>
          <w:szCs w:val="24"/>
          <w:lang w:eastAsia="es-UY"/>
          <w14:ligatures w14:val="none"/>
        </w:rPr>
        <w:t>-Estar dispuestos y dispuestas a espabilarnos, como les sucede a los apóstoles </w:t>
      </w:r>
    </w:p>
    <w:p w14:paraId="4D07F150"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Despertarnos de nuestras inercias, rutinas y comodidades. No pactar con ellas, sino avivar la sensibilidad para captar al Dios de la vida, que nos sorprende siempre empujando y sosteniendo la fragilidad, en nosotros y nosotras mismas, y en los y las demás. </w:t>
      </w:r>
    </w:p>
    <w:p w14:paraId="44C17775"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i/>
          <w:iCs/>
          <w:color w:val="483D34"/>
          <w:kern w:val="0"/>
          <w:sz w:val="24"/>
          <w:szCs w:val="24"/>
          <w:lang w:eastAsia="es-UY"/>
          <w14:ligatures w14:val="none"/>
        </w:rPr>
        <w:t>-No caer en la tentación de separar a Dios de la historia, y del mundo. No “aspirar a hacer tres tiendas.”</w:t>
      </w:r>
    </w:p>
    <w:p w14:paraId="4D10A4D6"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La oración cristiana no nos aísla en </w:t>
      </w:r>
      <w:r w:rsidRPr="003E63FD">
        <w:rPr>
          <w:rFonts w:ascii="Tahoma" w:eastAsia="Times New Roman" w:hAnsi="Tahoma" w:cs="Tahoma"/>
          <w:i/>
          <w:iCs/>
          <w:color w:val="483D34"/>
          <w:kern w:val="0"/>
          <w:sz w:val="24"/>
          <w:szCs w:val="24"/>
          <w:lang w:eastAsia="es-UY"/>
          <w14:ligatures w14:val="none"/>
        </w:rPr>
        <w:t>burbujas espirituales, </w:t>
      </w:r>
      <w:r w:rsidRPr="003E63FD">
        <w:rPr>
          <w:rFonts w:ascii="Tahoma" w:eastAsia="Times New Roman" w:hAnsi="Tahoma" w:cs="Tahoma"/>
          <w:color w:val="483D34"/>
          <w:kern w:val="0"/>
          <w:sz w:val="24"/>
          <w:szCs w:val="24"/>
          <w:lang w:eastAsia="es-UY"/>
          <w14:ligatures w14:val="none"/>
        </w:rPr>
        <w:t>sino que nos </w:t>
      </w:r>
      <w:r w:rsidRPr="003E63FD">
        <w:rPr>
          <w:rFonts w:ascii="Tahoma" w:eastAsia="Times New Roman" w:hAnsi="Tahoma" w:cs="Tahoma"/>
          <w:i/>
          <w:iCs/>
          <w:color w:val="483D34"/>
          <w:kern w:val="0"/>
          <w:sz w:val="24"/>
          <w:szCs w:val="24"/>
          <w:lang w:eastAsia="es-UY"/>
          <w14:ligatures w14:val="none"/>
        </w:rPr>
        <w:t xml:space="preserve">implica y complica con el sacramento del encuentro, la </w:t>
      </w:r>
      <w:proofErr w:type="spellStart"/>
      <w:r w:rsidRPr="003E63FD">
        <w:rPr>
          <w:rFonts w:ascii="Tahoma" w:eastAsia="Times New Roman" w:hAnsi="Tahoma" w:cs="Tahoma"/>
          <w:i/>
          <w:iCs/>
          <w:color w:val="483D34"/>
          <w:kern w:val="0"/>
          <w:sz w:val="24"/>
          <w:szCs w:val="24"/>
          <w:lang w:eastAsia="es-UY"/>
          <w14:ligatures w14:val="none"/>
        </w:rPr>
        <w:t>projimidad</w:t>
      </w:r>
      <w:proofErr w:type="spellEnd"/>
      <w:r w:rsidRPr="003E63FD">
        <w:rPr>
          <w:rFonts w:ascii="Tahoma" w:eastAsia="Times New Roman" w:hAnsi="Tahoma" w:cs="Tahoma"/>
          <w:i/>
          <w:iCs/>
          <w:color w:val="483D34"/>
          <w:kern w:val="0"/>
          <w:sz w:val="24"/>
          <w:szCs w:val="24"/>
          <w:lang w:eastAsia="es-UY"/>
          <w14:ligatures w14:val="none"/>
        </w:rPr>
        <w:t xml:space="preserve"> humana y la comunión con toda vida</w:t>
      </w:r>
      <w:r w:rsidRPr="003E63FD">
        <w:rPr>
          <w:rFonts w:ascii="Tahoma" w:eastAsia="Times New Roman" w:hAnsi="Tahoma" w:cs="Tahoma"/>
          <w:color w:val="483D34"/>
          <w:kern w:val="0"/>
          <w:sz w:val="24"/>
          <w:szCs w:val="24"/>
          <w:lang w:eastAsia="es-UY"/>
          <w14:ligatures w14:val="none"/>
        </w:rPr>
        <w:t>. Nos lleva a un modo de estar en el mundo “de parte de Dios”, comprometidos y comprometidas con la realidad y el cuidado de la casa común.  </w:t>
      </w:r>
    </w:p>
    <w:p w14:paraId="12907DB6"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i/>
          <w:iCs/>
          <w:color w:val="483D34"/>
          <w:kern w:val="0"/>
          <w:sz w:val="24"/>
          <w:szCs w:val="24"/>
          <w:lang w:eastAsia="es-UY"/>
          <w14:ligatures w14:val="none"/>
        </w:rPr>
        <w:t>-Escuchar al Hijo y su palabra encarnada en la historia y en lo profundo del corazón humano y dejarnos sobrecoger por esa experiencia.</w:t>
      </w:r>
    </w:p>
    <w:p w14:paraId="4C336C09"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Arrodillar el corazón ante este misterio. Dejar que cale en nosotros y nosotras como lluvia ligera, para que a su tiempo se traduzca en frutos, porque la experiencia de Dios se verifica siempre en las obras.</w:t>
      </w:r>
    </w:p>
    <w:p w14:paraId="6BC46298"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¿Cómo ayudarnos como comunidades cristianas a abrirnos a la experiencia de Dios y dejarnos transfigurar por ella?</w:t>
      </w:r>
    </w:p>
    <w:p w14:paraId="68074C70" w14:textId="7777777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E63FD">
        <w:rPr>
          <w:rFonts w:ascii="Tahoma" w:eastAsia="Times New Roman" w:hAnsi="Tahoma" w:cs="Tahoma"/>
          <w:color w:val="483D34"/>
          <w:kern w:val="0"/>
          <w:sz w:val="24"/>
          <w:szCs w:val="24"/>
          <w:lang w:eastAsia="es-UY"/>
          <w14:ligatures w14:val="none"/>
        </w:rPr>
        <w:t> </w:t>
      </w:r>
    </w:p>
    <w:p w14:paraId="7B0C6230" w14:textId="77777777" w:rsidR="003E63FD" w:rsidRDefault="003E63FD" w:rsidP="003E63FD">
      <w:pPr>
        <w:shd w:val="clear" w:color="auto" w:fill="FFCB9E"/>
        <w:spacing w:after="180" w:line="240" w:lineRule="auto"/>
        <w:jc w:val="right"/>
        <w:rPr>
          <w:rFonts w:ascii="Tahoma" w:eastAsia="Times New Roman" w:hAnsi="Tahoma" w:cs="Tahoma"/>
          <w:b/>
          <w:bCs/>
          <w:color w:val="483D34"/>
          <w:kern w:val="0"/>
          <w:sz w:val="24"/>
          <w:szCs w:val="24"/>
          <w:lang w:eastAsia="es-UY"/>
          <w14:ligatures w14:val="none"/>
        </w:rPr>
      </w:pPr>
      <w:r w:rsidRPr="003E63FD">
        <w:rPr>
          <w:rFonts w:ascii="Tahoma" w:eastAsia="Times New Roman" w:hAnsi="Tahoma" w:cs="Tahoma"/>
          <w:b/>
          <w:bCs/>
          <w:color w:val="483D34"/>
          <w:kern w:val="0"/>
          <w:sz w:val="24"/>
          <w:szCs w:val="24"/>
          <w:lang w:eastAsia="es-UY"/>
          <w14:ligatures w14:val="none"/>
        </w:rPr>
        <w:t>Pepa Torres Pérez</w:t>
      </w:r>
    </w:p>
    <w:p w14:paraId="174217B1" w14:textId="307852D7" w:rsidR="003E63FD" w:rsidRPr="003E63FD" w:rsidRDefault="003E63FD" w:rsidP="003E63FD">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hyperlink r:id="rId6" w:history="1">
        <w:r w:rsidRPr="003E63FD">
          <w:rPr>
            <w:rStyle w:val="Hipervnculo"/>
            <w:rFonts w:ascii="Tahoma" w:eastAsia="Times New Roman" w:hAnsi="Tahoma" w:cs="Tahoma"/>
            <w:kern w:val="0"/>
            <w:sz w:val="24"/>
            <w:szCs w:val="24"/>
            <w:lang w:eastAsia="es-UY"/>
            <w14:ligatures w14:val="none"/>
          </w:rPr>
          <w:t>https://www.feadulta.com/es/buscadoravanzado/item/16806-dejarnos-transfigurar.html</w:t>
        </w:r>
      </w:hyperlink>
    </w:p>
    <w:p w14:paraId="544D0D47" w14:textId="77777777" w:rsidR="003E63FD" w:rsidRDefault="003E63FD" w:rsidP="003E63FD">
      <w:pPr>
        <w:shd w:val="clear" w:color="auto" w:fill="FFCB9E"/>
        <w:spacing w:after="180" w:line="240" w:lineRule="auto"/>
        <w:jc w:val="right"/>
        <w:rPr>
          <w:rFonts w:ascii="Tahoma" w:eastAsia="Times New Roman" w:hAnsi="Tahoma" w:cs="Tahoma"/>
          <w:b/>
          <w:bCs/>
          <w:color w:val="483D34"/>
          <w:kern w:val="0"/>
          <w:sz w:val="24"/>
          <w:szCs w:val="24"/>
          <w:lang w:eastAsia="es-UY"/>
          <w14:ligatures w14:val="none"/>
        </w:rPr>
      </w:pPr>
    </w:p>
    <w:p w14:paraId="01100FDC" w14:textId="77777777" w:rsidR="003E63FD" w:rsidRPr="003E63FD" w:rsidRDefault="003E63FD" w:rsidP="003E63FD">
      <w:pPr>
        <w:shd w:val="clear" w:color="auto" w:fill="FFCB9E"/>
        <w:spacing w:after="180" w:line="240" w:lineRule="auto"/>
        <w:jc w:val="right"/>
        <w:rPr>
          <w:rFonts w:ascii="Tahoma" w:eastAsia="Times New Roman" w:hAnsi="Tahoma" w:cs="Tahoma"/>
          <w:color w:val="483D34"/>
          <w:kern w:val="0"/>
          <w:sz w:val="24"/>
          <w:szCs w:val="24"/>
          <w:lang w:eastAsia="es-UY"/>
          <w14:ligatures w14:val="none"/>
        </w:rPr>
      </w:pPr>
    </w:p>
    <w:p w14:paraId="1C1D23C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763EA"/>
    <w:multiLevelType w:val="multilevel"/>
    <w:tmpl w:val="A27E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A2C21"/>
    <w:multiLevelType w:val="multilevel"/>
    <w:tmpl w:val="735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54178">
    <w:abstractNumId w:val="1"/>
  </w:num>
  <w:num w:numId="2" w16cid:durableId="167333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FD"/>
    <w:rsid w:val="003E63FD"/>
    <w:rsid w:val="007F72BE"/>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2A4F"/>
  <w15:chartTrackingRefBased/>
  <w15:docId w15:val="{194927D7-49CB-45D8-8C09-123EF6FD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6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6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63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63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63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63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63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63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63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63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63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63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63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63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63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63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63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63FD"/>
    <w:rPr>
      <w:rFonts w:eastAsiaTheme="majorEastAsia" w:cstheme="majorBidi"/>
      <w:color w:val="272727" w:themeColor="text1" w:themeTint="D8"/>
    </w:rPr>
  </w:style>
  <w:style w:type="paragraph" w:styleId="Ttulo">
    <w:name w:val="Title"/>
    <w:basedOn w:val="Normal"/>
    <w:next w:val="Normal"/>
    <w:link w:val="TtuloCar"/>
    <w:uiPriority w:val="10"/>
    <w:qFormat/>
    <w:rsid w:val="003E6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63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63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63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63FD"/>
    <w:pPr>
      <w:spacing w:before="160"/>
      <w:jc w:val="center"/>
    </w:pPr>
    <w:rPr>
      <w:i/>
      <w:iCs/>
      <w:color w:val="404040" w:themeColor="text1" w:themeTint="BF"/>
    </w:rPr>
  </w:style>
  <w:style w:type="character" w:customStyle="1" w:styleId="CitaCar">
    <w:name w:val="Cita Car"/>
    <w:basedOn w:val="Fuentedeprrafopredeter"/>
    <w:link w:val="Cita"/>
    <w:uiPriority w:val="29"/>
    <w:rsid w:val="003E63FD"/>
    <w:rPr>
      <w:i/>
      <w:iCs/>
      <w:color w:val="404040" w:themeColor="text1" w:themeTint="BF"/>
    </w:rPr>
  </w:style>
  <w:style w:type="paragraph" w:styleId="Prrafodelista">
    <w:name w:val="List Paragraph"/>
    <w:basedOn w:val="Normal"/>
    <w:uiPriority w:val="34"/>
    <w:qFormat/>
    <w:rsid w:val="003E63FD"/>
    <w:pPr>
      <w:ind w:left="720"/>
      <w:contextualSpacing/>
    </w:pPr>
  </w:style>
  <w:style w:type="character" w:styleId="nfasisintenso">
    <w:name w:val="Intense Emphasis"/>
    <w:basedOn w:val="Fuentedeprrafopredeter"/>
    <w:uiPriority w:val="21"/>
    <w:qFormat/>
    <w:rsid w:val="003E63FD"/>
    <w:rPr>
      <w:i/>
      <w:iCs/>
      <w:color w:val="0F4761" w:themeColor="accent1" w:themeShade="BF"/>
    </w:rPr>
  </w:style>
  <w:style w:type="paragraph" w:styleId="Citadestacada">
    <w:name w:val="Intense Quote"/>
    <w:basedOn w:val="Normal"/>
    <w:next w:val="Normal"/>
    <w:link w:val="CitadestacadaCar"/>
    <w:uiPriority w:val="30"/>
    <w:qFormat/>
    <w:rsid w:val="003E6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63FD"/>
    <w:rPr>
      <w:i/>
      <w:iCs/>
      <w:color w:val="0F4761" w:themeColor="accent1" w:themeShade="BF"/>
    </w:rPr>
  </w:style>
  <w:style w:type="character" w:styleId="Referenciaintensa">
    <w:name w:val="Intense Reference"/>
    <w:basedOn w:val="Fuentedeprrafopredeter"/>
    <w:uiPriority w:val="32"/>
    <w:qFormat/>
    <w:rsid w:val="003E63FD"/>
    <w:rPr>
      <w:b/>
      <w:bCs/>
      <w:smallCaps/>
      <w:color w:val="0F4761" w:themeColor="accent1" w:themeShade="BF"/>
      <w:spacing w:val="5"/>
    </w:rPr>
  </w:style>
  <w:style w:type="character" w:styleId="Hipervnculo">
    <w:name w:val="Hyperlink"/>
    <w:basedOn w:val="Fuentedeprrafopredeter"/>
    <w:uiPriority w:val="99"/>
    <w:unhideWhenUsed/>
    <w:rsid w:val="003E63FD"/>
    <w:rPr>
      <w:color w:val="467886" w:themeColor="hyperlink"/>
      <w:u w:val="single"/>
    </w:rPr>
  </w:style>
  <w:style w:type="character" w:styleId="Mencinsinresolver">
    <w:name w:val="Unresolved Mention"/>
    <w:basedOn w:val="Fuentedeprrafopredeter"/>
    <w:uiPriority w:val="99"/>
    <w:semiHidden/>
    <w:unhideWhenUsed/>
    <w:rsid w:val="003E6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849432">
      <w:bodyDiv w:val="1"/>
      <w:marLeft w:val="0"/>
      <w:marRight w:val="0"/>
      <w:marTop w:val="0"/>
      <w:marBottom w:val="0"/>
      <w:divBdr>
        <w:top w:val="none" w:sz="0" w:space="0" w:color="auto"/>
        <w:left w:val="none" w:sz="0" w:space="0" w:color="auto"/>
        <w:bottom w:val="none" w:sz="0" w:space="0" w:color="auto"/>
        <w:right w:val="none" w:sz="0" w:space="0" w:color="auto"/>
      </w:divBdr>
      <w:divsChild>
        <w:div w:id="603609429">
          <w:marLeft w:val="0"/>
          <w:marRight w:val="0"/>
          <w:marTop w:val="240"/>
          <w:marBottom w:val="0"/>
          <w:divBdr>
            <w:top w:val="none" w:sz="0" w:space="0" w:color="auto"/>
            <w:left w:val="none" w:sz="0" w:space="0" w:color="auto"/>
            <w:bottom w:val="none" w:sz="0" w:space="0" w:color="auto"/>
            <w:right w:val="none" w:sz="0" w:space="0" w:color="auto"/>
          </w:divBdr>
        </w:div>
        <w:div w:id="1050035560">
          <w:marLeft w:val="0"/>
          <w:marRight w:val="0"/>
          <w:marTop w:val="0"/>
          <w:marBottom w:val="0"/>
          <w:divBdr>
            <w:top w:val="none" w:sz="0" w:space="0" w:color="auto"/>
            <w:left w:val="none" w:sz="0" w:space="0" w:color="auto"/>
            <w:bottom w:val="none" w:sz="0" w:space="0" w:color="auto"/>
            <w:right w:val="none" w:sz="0" w:space="0" w:color="auto"/>
          </w:divBdr>
          <w:divsChild>
            <w:div w:id="861742721">
              <w:marLeft w:val="0"/>
              <w:marRight w:val="0"/>
              <w:marTop w:val="0"/>
              <w:marBottom w:val="0"/>
              <w:divBdr>
                <w:top w:val="none" w:sz="0" w:space="0" w:color="auto"/>
                <w:left w:val="none" w:sz="0" w:space="0" w:color="auto"/>
                <w:bottom w:val="none" w:sz="0" w:space="0" w:color="auto"/>
                <w:right w:val="none" w:sz="0" w:space="0" w:color="auto"/>
              </w:divBdr>
            </w:div>
          </w:divsChild>
        </w:div>
        <w:div w:id="1254512571">
          <w:marLeft w:val="0"/>
          <w:marRight w:val="0"/>
          <w:marTop w:val="0"/>
          <w:marBottom w:val="0"/>
          <w:divBdr>
            <w:top w:val="none" w:sz="0" w:space="0" w:color="auto"/>
            <w:left w:val="none" w:sz="0" w:space="0" w:color="auto"/>
            <w:bottom w:val="none" w:sz="0" w:space="0" w:color="auto"/>
            <w:right w:val="none" w:sz="0" w:space="0" w:color="auto"/>
          </w:divBdr>
        </w:div>
        <w:div w:id="897781402">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806-dejarnos-transfigurar.html" TargetMode="External"/><Relationship Id="rId5" Type="http://schemas.openxmlformats.org/officeDocument/2006/relationships/hyperlink" Target="https://www.feadulta.com/es/buscadoravanzado/itemlist/user/691-pepatorre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3812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2025-03-17T11:19:00Z</dcterms:created>
  <dcterms:modified xsi:type="dcterms:W3CDTF">2025-03-17T11:19:00Z</dcterms:modified>
</cp:coreProperties>
</file>