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7ECCA" w14:textId="77777777" w:rsidR="009552D9" w:rsidRPr="009552D9" w:rsidRDefault="009552D9" w:rsidP="009552D9">
      <w:pPr>
        <w:shd w:val="clear" w:color="auto" w:fill="FFFFFF"/>
        <w:spacing w:after="100" w:afterAutospacing="1" w:line="240" w:lineRule="auto"/>
        <w:outlineLvl w:val="0"/>
        <w:rPr>
          <w:rFonts w:ascii="Arial" w:eastAsia="Times New Roman" w:hAnsi="Arial" w:cs="Arial"/>
          <w:b/>
          <w:bCs/>
          <w:color w:val="003250"/>
          <w:kern w:val="36"/>
          <w:sz w:val="48"/>
          <w:szCs w:val="48"/>
          <w:lang w:eastAsia="es-UY"/>
          <w14:ligatures w14:val="none"/>
        </w:rPr>
      </w:pPr>
      <w:r w:rsidRPr="009552D9">
        <w:rPr>
          <w:rFonts w:ascii="Arial" w:eastAsia="Times New Roman" w:hAnsi="Arial" w:cs="Arial"/>
          <w:b/>
          <w:bCs/>
          <w:color w:val="003250"/>
          <w:kern w:val="36"/>
          <w:sz w:val="48"/>
          <w:szCs w:val="48"/>
          <w:lang w:eastAsia="es-UY"/>
          <w14:ligatures w14:val="none"/>
        </w:rPr>
        <w:t>Una mirada a la situación actual de la Educación Intercultural Bilingüe en México</w:t>
      </w:r>
    </w:p>
    <w:p w14:paraId="25CEDFFD" w14:textId="68A2D0C6" w:rsidR="009552D9" w:rsidRDefault="009552D9" w:rsidP="009552D9">
      <w:pPr>
        <w:shd w:val="clear" w:color="auto" w:fill="FFFFFF"/>
        <w:spacing w:after="100" w:afterAutospacing="1" w:line="240" w:lineRule="auto"/>
        <w:jc w:val="both"/>
        <w:rPr>
          <w:rFonts w:eastAsia="Times New Roman" w:cs="Arial"/>
          <w:color w:val="003250"/>
          <w:kern w:val="0"/>
          <w:sz w:val="24"/>
          <w:szCs w:val="24"/>
          <w:lang w:eastAsia="es-UY"/>
          <w14:ligatures w14:val="none"/>
        </w:rPr>
      </w:pPr>
      <w:r w:rsidRPr="009552D9">
        <w:rPr>
          <w:rFonts w:eastAsia="Times New Roman" w:cs="Arial"/>
          <w:color w:val="003250"/>
          <w:kern w:val="0"/>
          <w:sz w:val="24"/>
          <w:szCs w:val="24"/>
          <w:lang w:eastAsia="es-UY"/>
          <w14:ligatures w14:val="none"/>
        </w:rPr>
        <w:drawing>
          <wp:inline distT="0" distB="0" distL="0" distR="0" wp14:anchorId="49302C52" wp14:editId="65F426F9">
            <wp:extent cx="5400040" cy="3236595"/>
            <wp:effectExtent l="0" t="0" r="0" b="1905"/>
            <wp:docPr id="467358026" name="Imagen 1" descr="Un grupo de personas caminando en la tier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58026" name="Imagen 1" descr="Un grupo de personas caminando en la tierra&#10;&#10;El contenido generado por IA puede ser incorrecto."/>
                    <pic:cNvPicPr/>
                  </pic:nvPicPr>
                  <pic:blipFill>
                    <a:blip r:embed="rId5"/>
                    <a:stretch>
                      <a:fillRect/>
                    </a:stretch>
                  </pic:blipFill>
                  <pic:spPr>
                    <a:xfrm>
                      <a:off x="0" y="0"/>
                      <a:ext cx="5400040" cy="3236595"/>
                    </a:xfrm>
                    <a:prstGeom prst="rect">
                      <a:avLst/>
                    </a:prstGeom>
                  </pic:spPr>
                </pic:pic>
              </a:graphicData>
            </a:graphic>
          </wp:inline>
        </w:drawing>
      </w:r>
    </w:p>
    <w:p w14:paraId="503AC9D1" w14:textId="77777777" w:rsidR="009552D9" w:rsidRDefault="009552D9" w:rsidP="009552D9">
      <w:pPr>
        <w:shd w:val="clear" w:color="auto" w:fill="FFFFFF"/>
        <w:spacing w:after="100" w:afterAutospacing="1" w:line="240" w:lineRule="auto"/>
        <w:jc w:val="both"/>
        <w:rPr>
          <w:rFonts w:eastAsia="Times New Roman" w:cs="Arial"/>
          <w:color w:val="003250"/>
          <w:kern w:val="0"/>
          <w:sz w:val="24"/>
          <w:szCs w:val="24"/>
          <w:lang w:eastAsia="es-UY"/>
          <w14:ligatures w14:val="none"/>
        </w:rPr>
      </w:pPr>
    </w:p>
    <w:p w14:paraId="58527166" w14:textId="0C73C435" w:rsidR="009552D9" w:rsidRPr="009552D9" w:rsidRDefault="009552D9" w:rsidP="009552D9">
      <w:pPr>
        <w:shd w:val="clear" w:color="auto" w:fill="FFFFFF"/>
        <w:spacing w:after="100" w:afterAutospacing="1" w:line="240" w:lineRule="auto"/>
        <w:jc w:val="both"/>
        <w:rPr>
          <w:rFonts w:eastAsia="Times New Roman" w:cs="Arial"/>
          <w:color w:val="003250"/>
          <w:kern w:val="0"/>
          <w:sz w:val="24"/>
          <w:szCs w:val="24"/>
          <w:lang w:eastAsia="es-UY"/>
          <w14:ligatures w14:val="none"/>
        </w:rPr>
      </w:pPr>
      <w:r w:rsidRPr="009552D9">
        <w:rPr>
          <w:rFonts w:eastAsia="Times New Roman" w:cs="Arial"/>
          <w:color w:val="003250"/>
          <w:kern w:val="0"/>
          <w:sz w:val="24"/>
          <w:szCs w:val="24"/>
          <w:lang w:eastAsia="es-UY"/>
          <w14:ligatures w14:val="none"/>
        </w:rPr>
        <w:t xml:space="preserve">En la actualidad, la educación intercultural bilingüe promovida por los pueblos indígenas dialoga con los afrodescendientes y las diversidades. El desafío es lograr una sinergia entre las acciones promovidas por el Estado y por la sociedad civil. La nueva escuela mexicana, el Colectivo Nacional de Normales Interculturales Bilingües y la experiencia zapatista muestran un camino para seguir avanzando. El desafío de </w:t>
      </w:r>
      <w:proofErr w:type="spellStart"/>
      <w:r w:rsidRPr="009552D9">
        <w:rPr>
          <w:rFonts w:eastAsia="Times New Roman" w:cs="Arial"/>
          <w:color w:val="003250"/>
          <w:kern w:val="0"/>
          <w:sz w:val="24"/>
          <w:szCs w:val="24"/>
          <w:lang w:eastAsia="es-UY"/>
          <w14:ligatures w14:val="none"/>
        </w:rPr>
        <w:t>interculturalizar</w:t>
      </w:r>
      <w:proofErr w:type="spellEnd"/>
      <w:r w:rsidRPr="009552D9">
        <w:rPr>
          <w:rFonts w:eastAsia="Times New Roman" w:cs="Arial"/>
          <w:color w:val="003250"/>
          <w:kern w:val="0"/>
          <w:sz w:val="24"/>
          <w:szCs w:val="24"/>
          <w:lang w:eastAsia="es-UY"/>
          <w14:ligatures w14:val="none"/>
        </w:rPr>
        <w:t xml:space="preserve"> la educación y tender puentes para revitalizar las lenguas.</w:t>
      </w:r>
    </w:p>
    <w:p w14:paraId="6DD538F5"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t>Los debates en torno a la educación intercultural en México se han robustecido, de manera que, además de la situación de los pueblos indígenas, incluimos temas afines relacionados con afrodescendientes, diversidad sexual, migración y racismo. Particularmente, la educación intercultural bilingüe se asocia con la educación escolarizada en contextos indígenas o con presencia de población hablante de lenguas indígenas. En ese sentido, la educación intercultural bilingüe dialoga cada vez más con otras aristas dentro de los debates interculturales. </w:t>
      </w:r>
    </w:p>
    <w:p w14:paraId="27F70637"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t xml:space="preserve">Tras los antecedentes del Primer Congreso Indigenista Interamericano de 1940 en Pátzcuaro, la firma de tratados internacionales durante la segunda mitad del siglo XX, el levantamiento zapatista de 1994 y las demandas de organizaciones indígenas en la década de 1990, la cuestión de la educación intercultural bilingüe ha cobrado </w:t>
      </w:r>
      <w:r w:rsidRPr="009552D9">
        <w:rPr>
          <w:rFonts w:eastAsia="Times New Roman" w:cs="Times New Roman"/>
          <w:color w:val="1D1D1B"/>
          <w:kern w:val="0"/>
          <w:sz w:val="24"/>
          <w:szCs w:val="24"/>
          <w:lang w:eastAsia="es-UY"/>
          <w14:ligatures w14:val="none"/>
        </w:rPr>
        <w:lastRenderedPageBreak/>
        <w:t>relevancia nacional mediante la creación de la Coordinación General de Educación Intercultural y Bilingüe y de diversas Escuelas Normales Interculturales, dependientes de la Secretaría de Educación Pública. </w:t>
      </w:r>
    </w:p>
    <w:p w14:paraId="4AB64585" w14:textId="15067CE1"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noProof/>
          <w:color w:val="1D1D1B"/>
          <w:kern w:val="0"/>
          <w:sz w:val="24"/>
          <w:szCs w:val="24"/>
          <w:lang w:eastAsia="es-UY"/>
          <w14:ligatures w14:val="none"/>
        </w:rPr>
        <w:drawing>
          <wp:anchor distT="0" distB="0" distL="114300" distR="114300" simplePos="0" relativeHeight="251658240" behindDoc="1" locked="0" layoutInCell="1" allowOverlap="1" wp14:anchorId="0504E870" wp14:editId="195DDE78">
            <wp:simplePos x="0" y="0"/>
            <wp:positionH relativeFrom="margin">
              <wp:posOffset>1684020</wp:posOffset>
            </wp:positionH>
            <wp:positionV relativeFrom="paragraph">
              <wp:posOffset>1372235</wp:posOffset>
            </wp:positionV>
            <wp:extent cx="4098925" cy="3074035"/>
            <wp:effectExtent l="0" t="0" r="0" b="0"/>
            <wp:wrapTight wrapText="bothSides">
              <wp:wrapPolygon edited="0">
                <wp:start x="0" y="0"/>
                <wp:lineTo x="0" y="21417"/>
                <wp:lineTo x="21483" y="21417"/>
                <wp:lineTo x="21483" y="0"/>
                <wp:lineTo x="0" y="0"/>
              </wp:wrapPolygon>
            </wp:wrapTight>
            <wp:docPr id="1" name="Imagen 4" descr="Un grupo de personas con un papalo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Un grupo de personas con un papalote&#10;&#10;El contenido generado por IA puede ser incorrec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8925" cy="307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2D9">
        <w:rPr>
          <w:rFonts w:eastAsia="Times New Roman" w:cs="Times New Roman"/>
          <w:color w:val="1D1D1B"/>
          <w:kern w:val="0"/>
          <w:sz w:val="24"/>
          <w:szCs w:val="24"/>
          <w:lang w:eastAsia="es-UY"/>
          <w14:ligatures w14:val="none"/>
        </w:rPr>
        <w:t>A partir de este escenario, es posible advertir dos grandes vertientes que enmarcan las acciones a favor de la educación intercultural y bilingüe. Por un lado, aquellas promovidas desde el Estado mexicano y, por otro, las desarrolladas por actores de la sociedad civil. Si bien las iniciativas pueden ser antagónicas, en ocasiones tienen puntos de encuentro, de diálogo y se reconfiguran, precisamente, mediante dichas relaciones. De este modo, puede haber confrontación directa hacia las políticas educativas del Estado, así como una constante revisión crítica de ellas.</w:t>
      </w:r>
    </w:p>
    <w:p w14:paraId="4D95DB7A" w14:textId="5F95E887" w:rsidR="009552D9" w:rsidRDefault="009552D9" w:rsidP="009552D9">
      <w:pPr>
        <w:shd w:val="clear" w:color="auto" w:fill="FFFFFF"/>
        <w:spacing w:after="0" w:line="240" w:lineRule="auto"/>
        <w:jc w:val="both"/>
        <w:rPr>
          <w:rFonts w:eastAsia="Times New Roman" w:cs="Times New Roman"/>
          <w:i/>
          <w:iCs/>
          <w:color w:val="1D1D1B"/>
          <w:kern w:val="0"/>
          <w:sz w:val="24"/>
          <w:szCs w:val="24"/>
          <w:lang w:eastAsia="es-UY"/>
          <w14:ligatures w14:val="none"/>
        </w:rPr>
      </w:pPr>
      <w:r w:rsidRPr="009552D9">
        <w:rPr>
          <w:rFonts w:eastAsia="Times New Roman" w:cs="Times New Roman"/>
          <w:i/>
          <w:iCs/>
          <w:color w:val="1D1D1B"/>
          <w:kern w:val="0"/>
          <w:sz w:val="24"/>
          <w:szCs w:val="24"/>
          <w:lang w:eastAsia="es-UY"/>
          <w14:ligatures w14:val="none"/>
        </w:rPr>
        <w:t>“</w:t>
      </w:r>
      <w:proofErr w:type="spellStart"/>
      <w:r w:rsidRPr="009552D9">
        <w:rPr>
          <w:rFonts w:eastAsia="Times New Roman" w:cs="Times New Roman"/>
          <w:i/>
          <w:iCs/>
          <w:color w:val="1D1D1B"/>
          <w:kern w:val="0"/>
          <w:sz w:val="24"/>
          <w:szCs w:val="24"/>
          <w:lang w:eastAsia="es-UY"/>
          <w14:ligatures w14:val="none"/>
        </w:rPr>
        <w:t>Compartencia</w:t>
      </w:r>
      <w:proofErr w:type="spellEnd"/>
      <w:r w:rsidRPr="009552D9">
        <w:rPr>
          <w:rFonts w:eastAsia="Times New Roman" w:cs="Times New Roman"/>
          <w:i/>
          <w:iCs/>
          <w:color w:val="1D1D1B"/>
          <w:kern w:val="0"/>
          <w:sz w:val="24"/>
          <w:szCs w:val="24"/>
          <w:lang w:eastAsia="es-UY"/>
          <w14:ligatures w14:val="none"/>
        </w:rPr>
        <w:t xml:space="preserve"> Pedagógica, Gastronómica y Cultural” San Pedro </w:t>
      </w:r>
      <w:proofErr w:type="spellStart"/>
      <w:r w:rsidRPr="009552D9">
        <w:rPr>
          <w:rFonts w:eastAsia="Times New Roman" w:cs="Times New Roman"/>
          <w:i/>
          <w:iCs/>
          <w:color w:val="1D1D1B"/>
          <w:kern w:val="0"/>
          <w:sz w:val="24"/>
          <w:szCs w:val="24"/>
          <w:lang w:eastAsia="es-UY"/>
          <w14:ligatures w14:val="none"/>
        </w:rPr>
        <w:t>Siniyuvi</w:t>
      </w:r>
      <w:proofErr w:type="spellEnd"/>
      <w:r w:rsidRPr="009552D9">
        <w:rPr>
          <w:rFonts w:eastAsia="Times New Roman" w:cs="Times New Roman"/>
          <w:i/>
          <w:iCs/>
          <w:color w:val="1D1D1B"/>
          <w:kern w:val="0"/>
          <w:sz w:val="24"/>
          <w:szCs w:val="24"/>
          <w:lang w:eastAsia="es-UY"/>
          <w14:ligatures w14:val="none"/>
        </w:rPr>
        <w:t>, Oaxaca, con el objetivo de  fortalecer el Plan para la Transformación de la Educación de Oaxaca (PTEO).</w:t>
      </w:r>
      <w:r w:rsidRPr="009552D9">
        <w:rPr>
          <w:rFonts w:eastAsia="Times New Roman" w:cs="Times New Roman"/>
          <w:b/>
          <w:bCs/>
          <w:i/>
          <w:iCs/>
          <w:color w:val="1D1D1B"/>
          <w:kern w:val="0"/>
          <w:sz w:val="24"/>
          <w:szCs w:val="24"/>
          <w:lang w:eastAsia="es-UY"/>
          <w14:ligatures w14:val="none"/>
        </w:rPr>
        <w:t> Foto: </w:t>
      </w:r>
      <w:hyperlink r:id="rId7" w:tgtFrame="_blank" w:history="1">
        <w:r w:rsidRPr="009552D9">
          <w:rPr>
            <w:rFonts w:eastAsia="Times New Roman" w:cs="Times New Roman"/>
            <w:i/>
            <w:iCs/>
            <w:color w:val="2B7AAA"/>
            <w:kern w:val="0"/>
            <w:sz w:val="24"/>
            <w:szCs w:val="24"/>
            <w:lang w:eastAsia="es-UY"/>
            <w14:ligatures w14:val="none"/>
          </w:rPr>
          <w:t>Sección XXII</w:t>
        </w:r>
      </w:hyperlink>
    </w:p>
    <w:p w14:paraId="1EB0F29D" w14:textId="77777777" w:rsidR="009552D9" w:rsidRDefault="009552D9" w:rsidP="009552D9">
      <w:pPr>
        <w:shd w:val="clear" w:color="auto" w:fill="FFFFFF"/>
        <w:spacing w:after="0" w:line="240" w:lineRule="auto"/>
        <w:jc w:val="both"/>
        <w:rPr>
          <w:rFonts w:eastAsia="Times New Roman" w:cs="Times New Roman"/>
          <w:i/>
          <w:iCs/>
          <w:color w:val="1D1D1B"/>
          <w:kern w:val="0"/>
          <w:sz w:val="24"/>
          <w:szCs w:val="24"/>
          <w:lang w:eastAsia="es-UY"/>
          <w14:ligatures w14:val="none"/>
        </w:rPr>
      </w:pPr>
    </w:p>
    <w:p w14:paraId="260F72A1" w14:textId="77777777" w:rsidR="009552D9" w:rsidRDefault="009552D9" w:rsidP="009552D9">
      <w:pPr>
        <w:shd w:val="clear" w:color="auto" w:fill="FFFFFF"/>
        <w:spacing w:after="0" w:line="240" w:lineRule="auto"/>
        <w:jc w:val="both"/>
        <w:rPr>
          <w:rFonts w:eastAsia="Times New Roman" w:cs="Times New Roman"/>
          <w:i/>
          <w:iCs/>
          <w:color w:val="1D1D1B"/>
          <w:kern w:val="0"/>
          <w:sz w:val="24"/>
          <w:szCs w:val="24"/>
          <w:lang w:eastAsia="es-UY"/>
          <w14:ligatures w14:val="none"/>
        </w:rPr>
      </w:pPr>
    </w:p>
    <w:p w14:paraId="47B8CCAF" w14:textId="77777777" w:rsidR="009552D9" w:rsidRDefault="009552D9" w:rsidP="009552D9">
      <w:pPr>
        <w:shd w:val="clear" w:color="auto" w:fill="FFFFFF"/>
        <w:spacing w:after="0" w:line="240" w:lineRule="auto"/>
        <w:jc w:val="both"/>
        <w:rPr>
          <w:rFonts w:eastAsia="Times New Roman" w:cs="Times New Roman"/>
          <w:i/>
          <w:iCs/>
          <w:color w:val="1D1D1B"/>
          <w:kern w:val="0"/>
          <w:sz w:val="24"/>
          <w:szCs w:val="24"/>
          <w:lang w:eastAsia="es-UY"/>
          <w14:ligatures w14:val="none"/>
        </w:rPr>
      </w:pPr>
    </w:p>
    <w:p w14:paraId="39645534" w14:textId="77777777" w:rsidR="009552D9" w:rsidRDefault="009552D9" w:rsidP="009552D9">
      <w:pPr>
        <w:shd w:val="clear" w:color="auto" w:fill="FFFFFF"/>
        <w:spacing w:after="0" w:line="240" w:lineRule="auto"/>
        <w:jc w:val="both"/>
        <w:rPr>
          <w:rFonts w:eastAsia="Times New Roman" w:cs="Times New Roman"/>
          <w:i/>
          <w:iCs/>
          <w:color w:val="1D1D1B"/>
          <w:kern w:val="0"/>
          <w:sz w:val="24"/>
          <w:szCs w:val="24"/>
          <w:lang w:eastAsia="es-UY"/>
          <w14:ligatures w14:val="none"/>
        </w:rPr>
      </w:pPr>
    </w:p>
    <w:p w14:paraId="0911C133" w14:textId="77777777" w:rsidR="009552D9" w:rsidRPr="009552D9" w:rsidRDefault="009552D9" w:rsidP="009552D9">
      <w:pPr>
        <w:shd w:val="clear" w:color="auto" w:fill="FFFFFF"/>
        <w:spacing w:after="100" w:afterAutospacing="1" w:line="240" w:lineRule="auto"/>
        <w:jc w:val="both"/>
        <w:outlineLvl w:val="2"/>
        <w:rPr>
          <w:rFonts w:eastAsia="Times New Roman" w:cs="Arial"/>
          <w:b/>
          <w:bCs/>
          <w:color w:val="003250"/>
          <w:kern w:val="0"/>
          <w:sz w:val="27"/>
          <w:szCs w:val="27"/>
          <w:lang w:eastAsia="es-UY"/>
          <w14:ligatures w14:val="none"/>
        </w:rPr>
      </w:pPr>
      <w:r w:rsidRPr="009552D9">
        <w:rPr>
          <w:rFonts w:eastAsia="Times New Roman" w:cs="Arial"/>
          <w:b/>
          <w:bCs/>
          <w:color w:val="003250"/>
          <w:kern w:val="0"/>
          <w:sz w:val="27"/>
          <w:szCs w:val="27"/>
          <w:lang w:eastAsia="es-UY"/>
          <w14:ligatures w14:val="none"/>
        </w:rPr>
        <w:t>La nueva escuela mexicana</w:t>
      </w:r>
    </w:p>
    <w:p w14:paraId="092D67E5"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t>Un ejemplo ilustrativo es el de las maestras y maestros de la Sección 22 de la Coordinadora Nacional de Trabajadores de la Educación del estado de Oaxaca. Aunque son trabajadores del Estado y las escuelas pertenecen a la Secretaría de Educación, muchas de las prácticas educativas con enfoque intercultural y bilingüe que implementan provienen de un modelo pedagógico propio. </w:t>
      </w:r>
      <w:hyperlink r:id="rId8" w:tgtFrame="_blank" w:history="1">
        <w:r w:rsidRPr="009552D9">
          <w:rPr>
            <w:rFonts w:eastAsia="Times New Roman" w:cs="Times New Roman"/>
            <w:color w:val="2B7AAA"/>
            <w:kern w:val="0"/>
            <w:sz w:val="24"/>
            <w:szCs w:val="24"/>
            <w:lang w:eastAsia="es-UY"/>
            <w14:ligatures w14:val="none"/>
          </w:rPr>
          <w:t>Este Plan para la Transformación de la Educación de Oaxaca (PTEO) no tiene como base filosófica la interculturalidad sino la comunalidad, es decir, la forma de vida de los pueblos indígenas de Oaxaca, incluyendo su diversidad cultural y lingüística</w:t>
        </w:r>
      </w:hyperlink>
      <w:r w:rsidRPr="009552D9">
        <w:rPr>
          <w:rFonts w:eastAsia="Times New Roman" w:cs="Times New Roman"/>
          <w:color w:val="1D1D1B"/>
          <w:kern w:val="0"/>
          <w:sz w:val="24"/>
          <w:szCs w:val="24"/>
          <w:lang w:eastAsia="es-UY"/>
          <w14:ligatures w14:val="none"/>
        </w:rPr>
        <w:t>. </w:t>
      </w:r>
    </w:p>
    <w:p w14:paraId="2DF76FAB"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t>Las políticas educativas interculturales bilingües promovidas por el Estado han transitado de ser meros instrumentos de asimilación cultural a adoptar una perspectiva intercultural crítica, mediante la denominada Nueva Escuela Mexicana. En efecto, el actual plan de estudios contempla a la interculturalidad crítica como un eje articulador: “Un diálogo permanente con la realidad más allá del aula, en los espacios escolares y en los lugares de la comunidad”. </w:t>
      </w:r>
      <w:hyperlink r:id="rId9" w:tgtFrame="_blank" w:history="1">
        <w:r w:rsidRPr="009552D9">
          <w:rPr>
            <w:rFonts w:eastAsia="Times New Roman" w:cs="Times New Roman"/>
            <w:color w:val="2B7AAA"/>
            <w:kern w:val="0"/>
            <w:sz w:val="24"/>
            <w:szCs w:val="24"/>
            <w:lang w:eastAsia="es-UY"/>
            <w14:ligatures w14:val="none"/>
          </w:rPr>
          <w:t xml:space="preserve">En este contexto, la interculturalidad se refiere a sujetos, comunidades e identidades lingüísticas, culturales, sociales y territoriales diversas que interactúan, dialogan, </w:t>
        </w:r>
        <w:r w:rsidRPr="009552D9">
          <w:rPr>
            <w:rFonts w:eastAsia="Times New Roman" w:cs="Times New Roman"/>
            <w:color w:val="2B7AAA"/>
            <w:kern w:val="0"/>
            <w:sz w:val="24"/>
            <w:szCs w:val="24"/>
            <w:lang w:eastAsia="es-UY"/>
            <w14:ligatures w14:val="none"/>
          </w:rPr>
          <w:lastRenderedPageBreak/>
          <w:t>se interpelan y producen diferentes realidades en un marco de relaciones asimétricas</w:t>
        </w:r>
      </w:hyperlink>
      <w:r w:rsidRPr="009552D9">
        <w:rPr>
          <w:rFonts w:eastAsia="Times New Roman" w:cs="Times New Roman"/>
          <w:color w:val="1D1D1B"/>
          <w:kern w:val="0"/>
          <w:sz w:val="24"/>
          <w:szCs w:val="24"/>
          <w:lang w:eastAsia="es-UY"/>
          <w14:ligatures w14:val="none"/>
        </w:rPr>
        <w:t>. </w:t>
      </w:r>
    </w:p>
    <w:p w14:paraId="0883C4CC" w14:textId="71102510"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noProof/>
          <w:color w:val="1D1D1B"/>
          <w:kern w:val="0"/>
          <w:sz w:val="24"/>
          <w:szCs w:val="24"/>
          <w:lang w:eastAsia="es-UY"/>
          <w14:ligatures w14:val="none"/>
        </w:rPr>
        <w:drawing>
          <wp:anchor distT="0" distB="0" distL="114300" distR="114300" simplePos="0" relativeHeight="251659264" behindDoc="1" locked="0" layoutInCell="1" allowOverlap="1" wp14:anchorId="7D1F9341" wp14:editId="6288136B">
            <wp:simplePos x="0" y="0"/>
            <wp:positionH relativeFrom="margin">
              <wp:posOffset>158115</wp:posOffset>
            </wp:positionH>
            <wp:positionV relativeFrom="paragraph">
              <wp:posOffset>1657350</wp:posOffset>
            </wp:positionV>
            <wp:extent cx="3361055" cy="2520950"/>
            <wp:effectExtent l="0" t="0" r="0" b="0"/>
            <wp:wrapTight wrapText="bothSides">
              <wp:wrapPolygon edited="0">
                <wp:start x="0" y="0"/>
                <wp:lineTo x="0" y="21382"/>
                <wp:lineTo x="21425" y="21382"/>
                <wp:lineTo x="21425" y="0"/>
                <wp:lineTo x="0" y="0"/>
              </wp:wrapPolygon>
            </wp:wrapTight>
            <wp:docPr id="2" name="Imagen 3" descr="Una multitud de ge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Una multitud de gente&#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1055"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2D9">
        <w:rPr>
          <w:rFonts w:eastAsia="Times New Roman" w:cs="Times New Roman"/>
          <w:color w:val="1D1D1B"/>
          <w:kern w:val="0"/>
          <w:sz w:val="24"/>
          <w:szCs w:val="24"/>
          <w:lang w:eastAsia="es-UY"/>
          <w14:ligatures w14:val="none"/>
        </w:rPr>
        <w:t>Si bien existen varios desafíos en torno a la práctica docente con enfoque intercultural bilingüe, el actual plan de estudios del sistema educativo mexicano insta a las y los profesores a “desarrollar procesos formativos y relaciones pedagógicas que permitan comprender, durante la educación básica, la lógica colonial que opera en nuestra experiencia humana cotidiana”. Surgido en 2019, el Colectivo Nacional de Normales Interculturales Bilingües trabaja en la construcción de una propuesta curricular para la formación inicial básica docente desde la interculturalidad. </w:t>
      </w:r>
      <w:hyperlink r:id="rId11" w:anchor=":~:text=La%20ENBIO%20es%20una%20Escuela,desde%20donde%20se%20potencia%20la" w:tgtFrame="_blank" w:history="1">
        <w:r w:rsidRPr="009552D9">
          <w:rPr>
            <w:rFonts w:eastAsia="Times New Roman" w:cs="Times New Roman"/>
            <w:color w:val="2B7AAA"/>
            <w:kern w:val="0"/>
            <w:sz w:val="24"/>
            <w:szCs w:val="24"/>
            <w:lang w:eastAsia="es-UY"/>
            <w14:ligatures w14:val="none"/>
          </w:rPr>
          <w:t>Esta propuesta responde a los principios de la Constitución Política y al fundamento de la Nueva Escuela Mexicana: cerrar las brechas históricas en materia de equidad y reconocimiento de los derechos educativos de los pueblos originarios</w:t>
        </w:r>
      </w:hyperlink>
      <w:r w:rsidRPr="009552D9">
        <w:rPr>
          <w:rFonts w:eastAsia="Times New Roman" w:cs="Times New Roman"/>
          <w:color w:val="1D1D1B"/>
          <w:kern w:val="0"/>
          <w:sz w:val="24"/>
          <w:szCs w:val="24"/>
          <w:lang w:eastAsia="es-UY"/>
          <w14:ligatures w14:val="none"/>
        </w:rPr>
        <w:t>.</w:t>
      </w:r>
    </w:p>
    <w:p w14:paraId="42217923" w14:textId="14E35A69" w:rsidR="009552D9" w:rsidRPr="009552D9" w:rsidRDefault="009552D9" w:rsidP="009552D9">
      <w:pPr>
        <w:shd w:val="clear" w:color="auto" w:fill="FFFFFF"/>
        <w:spacing w:after="0"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i/>
          <w:iCs/>
          <w:color w:val="1D1D1B"/>
          <w:kern w:val="0"/>
          <w:sz w:val="24"/>
          <w:szCs w:val="24"/>
          <w:lang w:eastAsia="es-UY"/>
          <w14:ligatures w14:val="none"/>
        </w:rPr>
        <w:t>Asamblea Regional Coordinadora Nacional de Trabajadores de la Educación de la Mixteca en febrero de 2025. </w:t>
      </w:r>
      <w:r w:rsidRPr="009552D9">
        <w:rPr>
          <w:rFonts w:eastAsia="Times New Roman" w:cs="Times New Roman"/>
          <w:b/>
          <w:bCs/>
          <w:i/>
          <w:iCs/>
          <w:color w:val="1D1D1B"/>
          <w:kern w:val="0"/>
          <w:sz w:val="24"/>
          <w:szCs w:val="24"/>
          <w:lang w:eastAsia="es-UY"/>
          <w14:ligatures w14:val="none"/>
        </w:rPr>
        <w:t>Foto: </w:t>
      </w:r>
      <w:hyperlink r:id="rId12" w:tgtFrame="_blank" w:history="1">
        <w:r w:rsidRPr="009552D9">
          <w:rPr>
            <w:rFonts w:eastAsia="Times New Roman" w:cs="Times New Roman"/>
            <w:i/>
            <w:iCs/>
            <w:color w:val="2B7AAA"/>
            <w:kern w:val="0"/>
            <w:sz w:val="24"/>
            <w:szCs w:val="24"/>
            <w:lang w:eastAsia="es-UY"/>
            <w14:ligatures w14:val="none"/>
          </w:rPr>
          <w:t>Sección XXII</w:t>
        </w:r>
      </w:hyperlink>
    </w:p>
    <w:p w14:paraId="193101F1" w14:textId="77777777" w:rsidR="009552D9" w:rsidRPr="009552D9" w:rsidRDefault="009552D9" w:rsidP="009552D9">
      <w:pPr>
        <w:shd w:val="clear" w:color="auto" w:fill="FFFFFF"/>
        <w:spacing w:after="100" w:afterAutospacing="1" w:line="240" w:lineRule="auto"/>
        <w:jc w:val="both"/>
        <w:outlineLvl w:val="2"/>
        <w:rPr>
          <w:rFonts w:eastAsia="Times New Roman" w:cs="Arial"/>
          <w:b/>
          <w:bCs/>
          <w:color w:val="003250"/>
          <w:kern w:val="0"/>
          <w:sz w:val="27"/>
          <w:szCs w:val="27"/>
          <w:lang w:eastAsia="es-UY"/>
          <w14:ligatures w14:val="none"/>
        </w:rPr>
      </w:pPr>
      <w:r w:rsidRPr="009552D9">
        <w:rPr>
          <w:rFonts w:eastAsia="Times New Roman" w:cs="Arial"/>
          <w:b/>
          <w:bCs/>
          <w:color w:val="003250"/>
          <w:kern w:val="0"/>
          <w:sz w:val="27"/>
          <w:szCs w:val="27"/>
          <w:lang w:eastAsia="es-UY"/>
          <w14:ligatures w14:val="none"/>
        </w:rPr>
        <w:t>Universidades interculturales y prácticas comunitarias</w:t>
      </w:r>
    </w:p>
    <w:p w14:paraId="0824464F"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t>A nivel de educación superior, en 2003 surgen universidades interculturales promovidas por el Estado mexicano. </w:t>
      </w:r>
      <w:hyperlink r:id="rId13" w:tgtFrame="_blank" w:history="1">
        <w:r w:rsidRPr="009552D9">
          <w:rPr>
            <w:rFonts w:eastAsia="Times New Roman" w:cs="Times New Roman"/>
            <w:color w:val="2B7AAA"/>
            <w:kern w:val="0"/>
            <w:sz w:val="24"/>
            <w:szCs w:val="24"/>
            <w:lang w:eastAsia="es-UY"/>
            <w14:ligatures w14:val="none"/>
          </w:rPr>
          <w:t xml:space="preserve">Aunque el pronunciamiento oficial señala su calidad y pertinencia cultural y lingüística, en la práctica existe una confluencia entre el multiculturalismo neoliberal y el experimento con innovaciones educativas con enfoque intercultural y </w:t>
        </w:r>
        <w:proofErr w:type="spellStart"/>
        <w:r w:rsidRPr="009552D9">
          <w:rPr>
            <w:rFonts w:eastAsia="Times New Roman" w:cs="Times New Roman"/>
            <w:color w:val="2B7AAA"/>
            <w:kern w:val="0"/>
            <w:sz w:val="24"/>
            <w:szCs w:val="24"/>
            <w:lang w:eastAsia="es-UY"/>
            <w14:ligatures w14:val="none"/>
          </w:rPr>
          <w:t>descolonial</w:t>
        </w:r>
        <w:proofErr w:type="spellEnd"/>
      </w:hyperlink>
      <w:r w:rsidRPr="009552D9">
        <w:rPr>
          <w:rFonts w:eastAsia="Times New Roman" w:cs="Times New Roman"/>
          <w:color w:val="1D1D1B"/>
          <w:kern w:val="0"/>
          <w:sz w:val="24"/>
          <w:szCs w:val="24"/>
          <w:lang w:eastAsia="es-UY"/>
          <w14:ligatures w14:val="none"/>
        </w:rPr>
        <w:t>. En realidad la experiencia educativa de cada universidad es diversa, poniendo de manifiesto tensiones y contradicciones, a la vez que respuestas diversas que permiten una construcción diferenciada en relación con las prácticas educativas interculturales.</w:t>
      </w:r>
    </w:p>
    <w:p w14:paraId="72A9EA4F"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t>Por otra parte, existen esfuerzos promovidos por gestores culturales, comunidades indígenas, investigadores académicos, asociaciones civiles y profesores indígenas que generan prácticas educativas afines a la educación intercultural bilingüe: promueven prácticas y conocimientos territorialmente situados, con pertinencia cultural y mediante el uso de las lenguas indígenas. Especialmente, la transmisión intergeneracional de conocimientos en las comunidades indígenas que ha permitido dar continuidad a las lenguas originarias, a los diferentes rituales, al sistema de gobierno propio, a la organización sociopolítica y a las formas de relacionarse con sus territorios.</w:t>
      </w:r>
    </w:p>
    <w:p w14:paraId="7B8EDFF1" w14:textId="11D15F8C"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noProof/>
          <w:color w:val="1D1D1B"/>
          <w:kern w:val="0"/>
          <w:sz w:val="24"/>
          <w:szCs w:val="24"/>
          <w:lang w:eastAsia="es-UY"/>
          <w14:ligatures w14:val="none"/>
        </w:rPr>
        <w:lastRenderedPageBreak/>
        <w:drawing>
          <wp:anchor distT="0" distB="0" distL="114300" distR="114300" simplePos="0" relativeHeight="251660288" behindDoc="1" locked="0" layoutInCell="1" allowOverlap="1" wp14:anchorId="0C5B3CD9" wp14:editId="284B2CEB">
            <wp:simplePos x="0" y="0"/>
            <wp:positionH relativeFrom="margin">
              <wp:posOffset>-635</wp:posOffset>
            </wp:positionH>
            <wp:positionV relativeFrom="paragraph">
              <wp:posOffset>1519555</wp:posOffset>
            </wp:positionV>
            <wp:extent cx="4203700" cy="3190875"/>
            <wp:effectExtent l="0" t="0" r="6350" b="9525"/>
            <wp:wrapTight wrapText="bothSides">
              <wp:wrapPolygon edited="0">
                <wp:start x="0" y="0"/>
                <wp:lineTo x="0" y="21536"/>
                <wp:lineTo x="21535" y="21536"/>
                <wp:lineTo x="21535" y="0"/>
                <wp:lineTo x="0" y="0"/>
              </wp:wrapPolygon>
            </wp:wrapTight>
            <wp:docPr id="3" name="Imagen 3" descr="Imagen que contiene pasto, exterior, edificio,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pasto, exterior, edificio, foto&#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2D9">
        <w:rPr>
          <w:rFonts w:eastAsia="Times New Roman" w:cs="Times New Roman"/>
          <w:color w:val="1D1D1B"/>
          <w:kern w:val="0"/>
          <w:sz w:val="24"/>
          <w:szCs w:val="24"/>
          <w:lang w:eastAsia="es-UY"/>
          <w14:ligatures w14:val="none"/>
        </w:rPr>
        <w:t>Si bien las prácticas comunitarias pasan desapercibidas para los investigadores, constituyen los esfuerzos más sólidos en pro de una educación cultural y lingüísticamente pertinentes. Aunado a ello, existen casos más conocidos como la educación autónoma zapatista en Chiapas, la educación comunitaria en Cherán (Michoacán) o la educación comunitaria en la Sierra Norte de Oaxaca, cuyas dinámicas están más sistematizadas y convocan la participación de diversos agentes educativos. En algunos casos, entablan alianzas con académicos o activistas interesados en fortalecer las prácticas educativas locales.</w:t>
      </w:r>
    </w:p>
    <w:p w14:paraId="0F3A5FDA" w14:textId="77777777" w:rsidR="009552D9" w:rsidRDefault="009552D9" w:rsidP="009552D9">
      <w:pPr>
        <w:shd w:val="clear" w:color="auto" w:fill="FFFFFF"/>
        <w:spacing w:after="0" w:line="240" w:lineRule="auto"/>
        <w:jc w:val="both"/>
        <w:rPr>
          <w:rFonts w:eastAsia="Times New Roman" w:cs="Times New Roman"/>
          <w:i/>
          <w:iCs/>
          <w:color w:val="1D1D1B"/>
          <w:kern w:val="0"/>
          <w:sz w:val="24"/>
          <w:szCs w:val="24"/>
          <w:lang w:eastAsia="es-UY"/>
          <w14:ligatures w14:val="none"/>
        </w:rPr>
      </w:pPr>
    </w:p>
    <w:p w14:paraId="253F8D24" w14:textId="77777777" w:rsidR="009552D9" w:rsidRDefault="009552D9" w:rsidP="009552D9">
      <w:pPr>
        <w:shd w:val="clear" w:color="auto" w:fill="FFFFFF"/>
        <w:spacing w:after="0" w:line="240" w:lineRule="auto"/>
        <w:jc w:val="both"/>
        <w:rPr>
          <w:rFonts w:eastAsia="Times New Roman" w:cs="Times New Roman"/>
          <w:i/>
          <w:iCs/>
          <w:color w:val="1D1D1B"/>
          <w:kern w:val="0"/>
          <w:sz w:val="24"/>
          <w:szCs w:val="24"/>
          <w:lang w:eastAsia="es-UY"/>
          <w14:ligatures w14:val="none"/>
        </w:rPr>
      </w:pPr>
    </w:p>
    <w:p w14:paraId="7F267087" w14:textId="77777777" w:rsidR="009552D9" w:rsidRDefault="009552D9" w:rsidP="009552D9">
      <w:pPr>
        <w:shd w:val="clear" w:color="auto" w:fill="FFFFFF"/>
        <w:spacing w:after="0" w:line="240" w:lineRule="auto"/>
        <w:jc w:val="both"/>
        <w:rPr>
          <w:rFonts w:eastAsia="Times New Roman" w:cs="Times New Roman"/>
          <w:i/>
          <w:iCs/>
          <w:color w:val="1D1D1B"/>
          <w:kern w:val="0"/>
          <w:sz w:val="24"/>
          <w:szCs w:val="24"/>
          <w:lang w:eastAsia="es-UY"/>
          <w14:ligatures w14:val="none"/>
        </w:rPr>
      </w:pPr>
    </w:p>
    <w:p w14:paraId="2A726584" w14:textId="77777777" w:rsidR="009552D9" w:rsidRDefault="009552D9" w:rsidP="009552D9">
      <w:pPr>
        <w:shd w:val="clear" w:color="auto" w:fill="FFFFFF"/>
        <w:spacing w:after="0" w:line="240" w:lineRule="auto"/>
        <w:jc w:val="both"/>
        <w:rPr>
          <w:rFonts w:eastAsia="Times New Roman" w:cs="Times New Roman"/>
          <w:i/>
          <w:iCs/>
          <w:color w:val="1D1D1B"/>
          <w:kern w:val="0"/>
          <w:sz w:val="24"/>
          <w:szCs w:val="24"/>
          <w:lang w:eastAsia="es-UY"/>
          <w14:ligatures w14:val="none"/>
        </w:rPr>
      </w:pPr>
    </w:p>
    <w:p w14:paraId="6DD01B23" w14:textId="77777777" w:rsidR="009552D9" w:rsidRDefault="009552D9" w:rsidP="009552D9">
      <w:pPr>
        <w:shd w:val="clear" w:color="auto" w:fill="FFFFFF"/>
        <w:spacing w:after="0" w:line="240" w:lineRule="auto"/>
        <w:jc w:val="both"/>
        <w:rPr>
          <w:rFonts w:eastAsia="Times New Roman" w:cs="Times New Roman"/>
          <w:i/>
          <w:iCs/>
          <w:color w:val="1D1D1B"/>
          <w:kern w:val="0"/>
          <w:sz w:val="24"/>
          <w:szCs w:val="24"/>
          <w:lang w:eastAsia="es-UY"/>
          <w14:ligatures w14:val="none"/>
        </w:rPr>
      </w:pPr>
    </w:p>
    <w:p w14:paraId="33321B82" w14:textId="01AD3B7F" w:rsidR="009552D9" w:rsidRDefault="009552D9" w:rsidP="009552D9">
      <w:pPr>
        <w:shd w:val="clear" w:color="auto" w:fill="FFFFFF"/>
        <w:spacing w:after="0" w:line="240" w:lineRule="auto"/>
        <w:jc w:val="both"/>
        <w:rPr>
          <w:rFonts w:eastAsia="Times New Roman" w:cs="Times New Roman"/>
          <w:i/>
          <w:iCs/>
          <w:color w:val="1D1D1B"/>
          <w:kern w:val="0"/>
          <w:sz w:val="24"/>
          <w:szCs w:val="24"/>
          <w:lang w:eastAsia="es-UY"/>
          <w14:ligatures w14:val="none"/>
        </w:rPr>
      </w:pPr>
      <w:r w:rsidRPr="009552D9">
        <w:rPr>
          <w:rFonts w:eastAsia="Times New Roman" w:cs="Times New Roman"/>
          <w:i/>
          <w:iCs/>
          <w:color w:val="1D1D1B"/>
          <w:kern w:val="0"/>
          <w:sz w:val="24"/>
          <w:szCs w:val="24"/>
          <w:lang w:eastAsia="es-UY"/>
          <w14:ligatures w14:val="none"/>
        </w:rPr>
        <w:t>La experiencia de la educación zapatista es una experiencia reconocida internacionalmente. </w:t>
      </w:r>
      <w:r w:rsidRPr="009552D9">
        <w:rPr>
          <w:rFonts w:eastAsia="Times New Roman" w:cs="Times New Roman"/>
          <w:b/>
          <w:bCs/>
          <w:i/>
          <w:iCs/>
          <w:color w:val="1D1D1B"/>
          <w:kern w:val="0"/>
          <w:sz w:val="24"/>
          <w:szCs w:val="24"/>
          <w:lang w:eastAsia="es-UY"/>
          <w14:ligatures w14:val="none"/>
        </w:rPr>
        <w:t>Foto:</w:t>
      </w:r>
      <w:r w:rsidRPr="009552D9">
        <w:rPr>
          <w:rFonts w:eastAsia="Times New Roman" w:cs="Times New Roman"/>
          <w:i/>
          <w:iCs/>
          <w:color w:val="1D1D1B"/>
          <w:kern w:val="0"/>
          <w:sz w:val="24"/>
          <w:szCs w:val="24"/>
          <w:lang w:eastAsia="es-UY"/>
          <w14:ligatures w14:val="none"/>
        </w:rPr>
        <w:t> </w:t>
      </w:r>
      <w:proofErr w:type="spellStart"/>
      <w:r w:rsidRPr="009552D9">
        <w:rPr>
          <w:rFonts w:eastAsia="Times New Roman" w:cs="Times New Roman"/>
          <w:i/>
          <w:iCs/>
          <w:color w:val="1D1D1B"/>
          <w:kern w:val="0"/>
          <w:sz w:val="24"/>
          <w:szCs w:val="24"/>
          <w:lang w:eastAsia="es-UY"/>
          <w14:ligatures w14:val="none"/>
        </w:rPr>
        <w:fldChar w:fldCharType="begin"/>
      </w:r>
      <w:r w:rsidRPr="009552D9">
        <w:rPr>
          <w:rFonts w:eastAsia="Times New Roman" w:cs="Times New Roman"/>
          <w:i/>
          <w:iCs/>
          <w:color w:val="1D1D1B"/>
          <w:kern w:val="0"/>
          <w:sz w:val="24"/>
          <w:szCs w:val="24"/>
          <w:lang w:eastAsia="es-UY"/>
          <w14:ligatures w14:val="none"/>
        </w:rPr>
        <w:instrText>HYPERLINK "https://commons.wikimedia.org/wiki/File:Escuela_Primaria_Rebelde_Autonoma_Zapatista.jpg"</w:instrText>
      </w:r>
      <w:r w:rsidRPr="009552D9">
        <w:rPr>
          <w:rFonts w:eastAsia="Times New Roman" w:cs="Times New Roman"/>
          <w:i/>
          <w:iCs/>
          <w:color w:val="1D1D1B"/>
          <w:kern w:val="0"/>
          <w:sz w:val="24"/>
          <w:szCs w:val="24"/>
          <w:lang w:eastAsia="es-UY"/>
          <w14:ligatures w14:val="none"/>
        </w:rPr>
      </w:r>
      <w:r w:rsidRPr="009552D9">
        <w:rPr>
          <w:rFonts w:eastAsia="Times New Roman" w:cs="Times New Roman"/>
          <w:i/>
          <w:iCs/>
          <w:color w:val="1D1D1B"/>
          <w:kern w:val="0"/>
          <w:sz w:val="24"/>
          <w:szCs w:val="24"/>
          <w:lang w:eastAsia="es-UY"/>
          <w14:ligatures w14:val="none"/>
        </w:rPr>
        <w:fldChar w:fldCharType="separate"/>
      </w:r>
      <w:r w:rsidRPr="009552D9">
        <w:rPr>
          <w:rFonts w:eastAsia="Times New Roman" w:cs="Times New Roman"/>
          <w:i/>
          <w:iCs/>
          <w:color w:val="2B7AAA"/>
          <w:kern w:val="0"/>
          <w:sz w:val="24"/>
          <w:szCs w:val="24"/>
          <w:lang w:eastAsia="es-UY"/>
          <w14:ligatures w14:val="none"/>
        </w:rPr>
        <w:t>Thek</w:t>
      </w:r>
      <w:r w:rsidRPr="009552D9">
        <w:rPr>
          <w:rFonts w:eastAsia="Times New Roman" w:cs="Times New Roman"/>
          <w:i/>
          <w:iCs/>
          <w:color w:val="1D1D1B"/>
          <w:kern w:val="0"/>
          <w:sz w:val="24"/>
          <w:szCs w:val="24"/>
          <w:lang w:eastAsia="es-UY"/>
          <w14:ligatures w14:val="none"/>
        </w:rPr>
        <w:fldChar w:fldCharType="end"/>
      </w:r>
      <w:hyperlink r:id="rId15" w:tgtFrame="_blank" w:history="1">
        <w:r w:rsidRPr="009552D9">
          <w:rPr>
            <w:rFonts w:eastAsia="Times New Roman" w:cs="Times New Roman"/>
            <w:i/>
            <w:iCs/>
            <w:color w:val="2B7AAA"/>
            <w:kern w:val="0"/>
            <w:sz w:val="24"/>
            <w:szCs w:val="24"/>
            <w:lang w:eastAsia="es-UY"/>
            <w14:ligatures w14:val="none"/>
          </w:rPr>
          <w:t>l</w:t>
        </w:r>
      </w:hyperlink>
      <w:hyperlink r:id="rId16" w:history="1">
        <w:r w:rsidRPr="009552D9">
          <w:rPr>
            <w:rFonts w:eastAsia="Times New Roman" w:cs="Times New Roman"/>
            <w:i/>
            <w:iCs/>
            <w:color w:val="2B7AAA"/>
            <w:kern w:val="0"/>
            <w:sz w:val="24"/>
            <w:szCs w:val="24"/>
            <w:lang w:eastAsia="es-UY"/>
            <w14:ligatures w14:val="none"/>
          </w:rPr>
          <w:t>an</w:t>
        </w:r>
        <w:proofErr w:type="spellEnd"/>
      </w:hyperlink>
    </w:p>
    <w:p w14:paraId="261297D7" w14:textId="77777777" w:rsidR="009552D9" w:rsidRPr="009552D9" w:rsidRDefault="009552D9" w:rsidP="009552D9">
      <w:pPr>
        <w:shd w:val="clear" w:color="auto" w:fill="FFFFFF"/>
        <w:spacing w:after="0" w:line="240" w:lineRule="auto"/>
        <w:jc w:val="both"/>
        <w:rPr>
          <w:rFonts w:eastAsia="Times New Roman" w:cs="Times New Roman"/>
          <w:color w:val="1D1D1B"/>
          <w:kern w:val="0"/>
          <w:sz w:val="24"/>
          <w:szCs w:val="24"/>
          <w:lang w:eastAsia="es-UY"/>
          <w14:ligatures w14:val="none"/>
        </w:rPr>
      </w:pPr>
    </w:p>
    <w:p w14:paraId="245626EA" w14:textId="77777777" w:rsidR="009552D9" w:rsidRPr="009552D9" w:rsidRDefault="009552D9" w:rsidP="009552D9">
      <w:pPr>
        <w:shd w:val="clear" w:color="auto" w:fill="FFFFFF"/>
        <w:spacing w:after="100" w:afterAutospacing="1" w:line="240" w:lineRule="auto"/>
        <w:jc w:val="both"/>
        <w:outlineLvl w:val="2"/>
        <w:rPr>
          <w:rFonts w:eastAsia="Times New Roman" w:cs="Arial"/>
          <w:b/>
          <w:bCs/>
          <w:color w:val="003250"/>
          <w:kern w:val="0"/>
          <w:sz w:val="27"/>
          <w:szCs w:val="27"/>
          <w:lang w:eastAsia="es-UY"/>
          <w14:ligatures w14:val="none"/>
        </w:rPr>
      </w:pPr>
      <w:proofErr w:type="spellStart"/>
      <w:r w:rsidRPr="009552D9">
        <w:rPr>
          <w:rFonts w:eastAsia="Times New Roman" w:cs="Arial"/>
          <w:b/>
          <w:bCs/>
          <w:color w:val="003250"/>
          <w:kern w:val="0"/>
          <w:sz w:val="27"/>
          <w:szCs w:val="27"/>
          <w:lang w:eastAsia="es-UY"/>
          <w14:ligatures w14:val="none"/>
        </w:rPr>
        <w:t>Interculturalizar</w:t>
      </w:r>
      <w:proofErr w:type="spellEnd"/>
      <w:r w:rsidRPr="009552D9">
        <w:rPr>
          <w:rFonts w:eastAsia="Times New Roman" w:cs="Arial"/>
          <w:b/>
          <w:bCs/>
          <w:color w:val="003250"/>
          <w:kern w:val="0"/>
          <w:sz w:val="27"/>
          <w:szCs w:val="27"/>
          <w:lang w:eastAsia="es-UY"/>
          <w14:ligatures w14:val="none"/>
        </w:rPr>
        <w:t xml:space="preserve"> la educación</w:t>
      </w:r>
    </w:p>
    <w:p w14:paraId="181FACF0"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t>En cuanto a la promoción y enseñanza de lenguas indígenas existen múltiples iniciativas y diferentes enfoques: cursos impartidos en las universidades, activismo digital, uso de cómics, generación de materiales didácticos para la educación básica, nidos de lenguas y mapeos lingüísticos. Quienes promocionan estas actividades suelen ser los propios hablantes de lenguas o especialistas en el tema. </w:t>
      </w:r>
    </w:p>
    <w:p w14:paraId="123A2312"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t>En ese sentido, en 2020, se firmó la </w:t>
      </w:r>
      <w:hyperlink r:id="rId17" w:tgtFrame="_blank" w:history="1">
        <w:r w:rsidRPr="009552D9">
          <w:rPr>
            <w:rFonts w:eastAsia="Times New Roman" w:cs="Times New Roman"/>
            <w:color w:val="2B7AAA"/>
            <w:kern w:val="0"/>
            <w:sz w:val="24"/>
            <w:szCs w:val="24"/>
            <w:lang w:eastAsia="es-UY"/>
            <w14:ligatures w14:val="none"/>
          </w:rPr>
          <w:t>Declaración de Los Pinos (</w:t>
        </w:r>
        <w:proofErr w:type="spellStart"/>
        <w:r w:rsidRPr="009552D9">
          <w:rPr>
            <w:rFonts w:eastAsia="Times New Roman" w:cs="Times New Roman"/>
            <w:color w:val="2B7AAA"/>
            <w:kern w:val="0"/>
            <w:sz w:val="24"/>
            <w:szCs w:val="24"/>
            <w:lang w:eastAsia="es-UY"/>
            <w14:ligatures w14:val="none"/>
          </w:rPr>
          <w:t>Chapoltepek</w:t>
        </w:r>
        <w:proofErr w:type="spellEnd"/>
        <w:r w:rsidRPr="009552D9">
          <w:rPr>
            <w:rFonts w:eastAsia="Times New Roman" w:cs="Times New Roman"/>
            <w:color w:val="2B7AAA"/>
            <w:kern w:val="0"/>
            <w:sz w:val="24"/>
            <w:szCs w:val="24"/>
            <w:lang w:eastAsia="es-UY"/>
            <w14:ligatures w14:val="none"/>
          </w:rPr>
          <w:t>) – Construyendo un Decenio de Acciones para las Lenguas Indígenas</w:t>
        </w:r>
      </w:hyperlink>
      <w:r w:rsidRPr="009552D9">
        <w:rPr>
          <w:rFonts w:eastAsia="Times New Roman" w:cs="Times New Roman"/>
          <w:color w:val="1D1D1B"/>
          <w:kern w:val="0"/>
          <w:sz w:val="24"/>
          <w:szCs w:val="24"/>
          <w:lang w:eastAsia="es-UY"/>
          <w14:ligatures w14:val="none"/>
        </w:rPr>
        <w:t>, promovida por la Organización de las Naciones Unidas para la Educación, la Ciencia y la Cultura (UNESCO) y el Gobierno de México. El objetivo principal de esta iniciativa es “llamar la atención sobre la grave pérdida de lenguas indígenas y la necesidad apremiante de conservarlas, revitalizarlas y promoverlas y de adoptar medidas urgentes a nivel nacional e internacional”.</w:t>
      </w:r>
    </w:p>
    <w:p w14:paraId="5B601FA3" w14:textId="77777777" w:rsidR="009552D9" w:rsidRPr="009552D9" w:rsidRDefault="009552D9" w:rsidP="009552D9">
      <w:pPr>
        <w:shd w:val="clear" w:color="auto" w:fill="FFFFFF"/>
        <w:spacing w:after="100" w:line="240" w:lineRule="auto"/>
        <w:jc w:val="both"/>
        <w:rPr>
          <w:rFonts w:eastAsia="Times New Roman" w:cs="Times New Roman"/>
          <w:i/>
          <w:iCs/>
          <w:color w:val="2B7AAA"/>
          <w:kern w:val="0"/>
          <w:sz w:val="24"/>
          <w:szCs w:val="24"/>
          <w:lang w:eastAsia="es-UY"/>
          <w14:ligatures w14:val="none"/>
        </w:rPr>
      </w:pPr>
      <w:r w:rsidRPr="009552D9">
        <w:rPr>
          <w:rFonts w:eastAsia="Times New Roman" w:cs="Times New Roman"/>
          <w:i/>
          <w:iCs/>
          <w:color w:val="2B7AAA"/>
          <w:kern w:val="0"/>
          <w:sz w:val="24"/>
          <w:szCs w:val="24"/>
          <w:lang w:eastAsia="es-UY"/>
          <w14:ligatures w14:val="none"/>
        </w:rPr>
        <w:t>Los verdaderos esfuerzos siguen siendo encabezados por los propios hablantes, la mayoría de las veces sin un respaldo financiero que les permita fortalecer los procesos.</w:t>
      </w:r>
    </w:p>
    <w:p w14:paraId="11AA8F9A"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lastRenderedPageBreak/>
        <w:t xml:space="preserve">A cuatro años de haberse firmado la Declaración, se puede afirmar, </w:t>
      </w:r>
      <w:proofErr w:type="gramStart"/>
      <w:r w:rsidRPr="009552D9">
        <w:rPr>
          <w:rFonts w:eastAsia="Times New Roman" w:cs="Times New Roman"/>
          <w:color w:val="1D1D1B"/>
          <w:kern w:val="0"/>
          <w:sz w:val="24"/>
          <w:szCs w:val="24"/>
          <w:lang w:eastAsia="es-UY"/>
          <w14:ligatures w14:val="none"/>
        </w:rPr>
        <w:t>sin lugar a dudas</w:t>
      </w:r>
      <w:proofErr w:type="gramEnd"/>
      <w:r w:rsidRPr="009552D9">
        <w:rPr>
          <w:rFonts w:eastAsia="Times New Roman" w:cs="Times New Roman"/>
          <w:color w:val="1D1D1B"/>
          <w:kern w:val="0"/>
          <w:sz w:val="24"/>
          <w:szCs w:val="24"/>
          <w:lang w:eastAsia="es-UY"/>
          <w14:ligatures w14:val="none"/>
        </w:rPr>
        <w:t>, que la situación de las lenguas indígenas mexicanas no ha tenido ninguna mejora. Su desplazamiento continúa avanzando y aún no se vislumbran acciones firmes y concretas centradas en cada lengua en particular. De modo contrario, los verdaderos esfuerzos siguen siendo encabezados por los propios hablantes, la mayoría de las veces sin un respaldo financiero que les permita fortalecer los procesos.</w:t>
      </w:r>
    </w:p>
    <w:p w14:paraId="5753C330"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t xml:space="preserve">Finalmente, el discurso del expresidente Andrés Manuel López Obrador ha puesto en la mira nacional a los pueblos y las lenguas indígenas. Sin embargo, ha tenido matices de folclor y, aunque con buenas intenciones, los aspectos culturales y lingüísticos han sido banalizados, sirviendo como bandera para celebraciones nacionales o actos políticos. Este panorama ha sacado a la luz el carácter racista de la sociedad mexicana, reflejado en los comentarios discriminatorios hacia las culturas indígenas en las redes sociales. Esta situación refleja la imperiosa necesidad de </w:t>
      </w:r>
      <w:proofErr w:type="spellStart"/>
      <w:r w:rsidRPr="009552D9">
        <w:rPr>
          <w:rFonts w:eastAsia="Times New Roman" w:cs="Times New Roman"/>
          <w:color w:val="1D1D1B"/>
          <w:kern w:val="0"/>
          <w:sz w:val="24"/>
          <w:szCs w:val="24"/>
          <w:lang w:eastAsia="es-UY"/>
          <w14:ligatures w14:val="none"/>
        </w:rPr>
        <w:t>interculturalizar</w:t>
      </w:r>
      <w:proofErr w:type="spellEnd"/>
      <w:r w:rsidRPr="009552D9">
        <w:rPr>
          <w:rFonts w:eastAsia="Times New Roman" w:cs="Times New Roman"/>
          <w:color w:val="1D1D1B"/>
          <w:kern w:val="0"/>
          <w:sz w:val="24"/>
          <w:szCs w:val="24"/>
          <w:lang w:eastAsia="es-UY"/>
          <w14:ligatures w14:val="none"/>
        </w:rPr>
        <w:t xml:space="preserve"> la educación y las instituciones en aras de conformar una sociedad más dialógica.</w:t>
      </w:r>
    </w:p>
    <w:p w14:paraId="4373E3C6" w14:textId="77777777" w:rsidR="009552D9" w:rsidRPr="009552D9" w:rsidRDefault="009552D9" w:rsidP="009552D9">
      <w:pPr>
        <w:shd w:val="clear" w:color="auto" w:fill="FFFFFF"/>
        <w:spacing w:after="0"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noProof/>
          <w:color w:val="1D1D1B"/>
          <w:kern w:val="0"/>
          <w:sz w:val="24"/>
          <w:szCs w:val="24"/>
          <w:lang w:eastAsia="es-UY"/>
          <w14:ligatures w14:val="none"/>
        </w:rPr>
        <w:drawing>
          <wp:inline distT="0" distB="0" distL="0" distR="0" wp14:anchorId="06731D77" wp14:editId="1206F30B">
            <wp:extent cx="5829300" cy="4371975"/>
            <wp:effectExtent l="0" t="0" r="0" b="9525"/>
            <wp:docPr id="4" name="Imagen 2" descr="Edificio con letrero en fre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Edificio con letrero en frente&#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5215" cy="4376411"/>
                    </a:xfrm>
                    <a:prstGeom prst="rect">
                      <a:avLst/>
                    </a:prstGeom>
                    <a:noFill/>
                    <a:ln>
                      <a:noFill/>
                    </a:ln>
                  </pic:spPr>
                </pic:pic>
              </a:graphicData>
            </a:graphic>
          </wp:inline>
        </w:drawing>
      </w:r>
      <w:r w:rsidRPr="009552D9">
        <w:rPr>
          <w:rFonts w:eastAsia="Times New Roman" w:cs="Times New Roman"/>
          <w:i/>
          <w:iCs/>
          <w:color w:val="1D1D1B"/>
          <w:kern w:val="0"/>
          <w:sz w:val="24"/>
          <w:szCs w:val="24"/>
          <w:lang w:eastAsia="es-UY"/>
          <w14:ligatures w14:val="none"/>
        </w:rPr>
        <w:t>La</w:t>
      </w:r>
      <w:r w:rsidRPr="009552D9">
        <w:rPr>
          <w:rFonts w:eastAsia="Times New Roman" w:cs="Times New Roman"/>
          <w:b/>
          <w:bCs/>
          <w:i/>
          <w:iCs/>
          <w:color w:val="1D1D1B"/>
          <w:kern w:val="0"/>
          <w:sz w:val="24"/>
          <w:szCs w:val="24"/>
          <w:lang w:eastAsia="es-UY"/>
          <w14:ligatures w14:val="none"/>
        </w:rPr>
        <w:t> </w:t>
      </w:r>
      <w:r w:rsidRPr="009552D9">
        <w:rPr>
          <w:rFonts w:eastAsia="Times New Roman" w:cs="Times New Roman"/>
          <w:i/>
          <w:iCs/>
          <w:color w:val="1D1D1B"/>
          <w:kern w:val="0"/>
          <w:sz w:val="24"/>
          <w:szCs w:val="24"/>
          <w:lang w:eastAsia="es-UY"/>
          <w14:ligatures w14:val="none"/>
        </w:rPr>
        <w:t xml:space="preserve">Escuela Normal Indígena Intercultural Bilingüe “Jacinto Canek” </w:t>
      </w:r>
      <w:proofErr w:type="gramStart"/>
      <w:r w:rsidRPr="009552D9">
        <w:rPr>
          <w:rFonts w:eastAsia="Times New Roman" w:cs="Times New Roman"/>
          <w:i/>
          <w:iCs/>
          <w:color w:val="1D1D1B"/>
          <w:kern w:val="0"/>
          <w:sz w:val="24"/>
          <w:szCs w:val="24"/>
          <w:lang w:eastAsia="es-UY"/>
          <w14:ligatures w14:val="none"/>
        </w:rPr>
        <w:t>forma docentes</w:t>
      </w:r>
      <w:proofErr w:type="gramEnd"/>
      <w:r w:rsidRPr="009552D9">
        <w:rPr>
          <w:rFonts w:eastAsia="Times New Roman" w:cs="Times New Roman"/>
          <w:i/>
          <w:iCs/>
          <w:color w:val="1D1D1B"/>
          <w:kern w:val="0"/>
          <w:sz w:val="24"/>
          <w:szCs w:val="24"/>
          <w:lang w:eastAsia="es-UY"/>
          <w14:ligatures w14:val="none"/>
        </w:rPr>
        <w:t xml:space="preserve"> con principios humanísticos y, una conciencia étnica y social. </w:t>
      </w:r>
      <w:r w:rsidRPr="009552D9">
        <w:rPr>
          <w:rFonts w:eastAsia="Times New Roman" w:cs="Times New Roman"/>
          <w:b/>
          <w:bCs/>
          <w:i/>
          <w:iCs/>
          <w:color w:val="1D1D1B"/>
          <w:kern w:val="0"/>
          <w:sz w:val="24"/>
          <w:szCs w:val="24"/>
          <w:lang w:eastAsia="es-UY"/>
          <w14:ligatures w14:val="none"/>
        </w:rPr>
        <w:t>Foto: </w:t>
      </w:r>
      <w:r w:rsidRPr="009552D9">
        <w:rPr>
          <w:rFonts w:eastAsia="Times New Roman" w:cs="Times New Roman"/>
          <w:i/>
          <w:iCs/>
          <w:color w:val="1D1D1B"/>
          <w:kern w:val="0"/>
          <w:sz w:val="24"/>
          <w:szCs w:val="24"/>
          <w:lang w:eastAsia="es-UY"/>
          <w14:ligatures w14:val="none"/>
        </w:rPr>
        <w:t>Edgar Pérez Ríos</w:t>
      </w:r>
    </w:p>
    <w:p w14:paraId="4FF60CE1" w14:textId="77777777" w:rsidR="009552D9" w:rsidRPr="009552D9" w:rsidRDefault="009552D9" w:rsidP="009552D9">
      <w:pPr>
        <w:shd w:val="clear" w:color="auto" w:fill="FFFFFF"/>
        <w:spacing w:after="100" w:afterAutospacing="1" w:line="240" w:lineRule="auto"/>
        <w:jc w:val="both"/>
        <w:outlineLvl w:val="2"/>
        <w:rPr>
          <w:rFonts w:eastAsia="Times New Roman" w:cs="Arial"/>
          <w:b/>
          <w:bCs/>
          <w:color w:val="003250"/>
          <w:kern w:val="0"/>
          <w:sz w:val="27"/>
          <w:szCs w:val="27"/>
          <w:lang w:eastAsia="es-UY"/>
          <w14:ligatures w14:val="none"/>
        </w:rPr>
      </w:pPr>
      <w:r w:rsidRPr="009552D9">
        <w:rPr>
          <w:rFonts w:eastAsia="Times New Roman" w:cs="Arial"/>
          <w:b/>
          <w:bCs/>
          <w:color w:val="003250"/>
          <w:kern w:val="0"/>
          <w:sz w:val="27"/>
          <w:szCs w:val="27"/>
          <w:lang w:eastAsia="es-UY"/>
          <w14:ligatures w14:val="none"/>
        </w:rPr>
        <w:t>Tender puentes para revitalizar las lenguas</w:t>
      </w:r>
    </w:p>
    <w:p w14:paraId="2D58E76F"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lastRenderedPageBreak/>
        <w:t>Si bien hemos avanzado tanto en el discurso como en la práctica, sobre todo en relación con prácticas educativas interculturales, aún faltan muchos esfuerzos dirigidos hacia el fortalecimiento de las lenguas indígenas. El bilingüismo sigue inclinado hacia el español en detrimento de las decenas de lenguas originarias y sus variantes. Es necesario que tanto los esfuerzos promovidos por el Estado como las iniciativas particulares puedan tender puentes de colaboración y diálogo, en los términos que se consideran pertinentes, pensando en una meta común: el fortalecimiento y revitalización de nuestras lenguas y culturas mexicanas.</w:t>
      </w:r>
    </w:p>
    <w:p w14:paraId="46B3630B"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t xml:space="preserve">Asimismo, vale la pena recalcar el papel que, de manera particular y </w:t>
      </w:r>
      <w:proofErr w:type="spellStart"/>
      <w:r w:rsidRPr="009552D9">
        <w:rPr>
          <w:rFonts w:eastAsia="Times New Roman" w:cs="Times New Roman"/>
          <w:color w:val="1D1D1B"/>
          <w:kern w:val="0"/>
          <w:sz w:val="24"/>
          <w:szCs w:val="24"/>
          <w:lang w:eastAsia="es-UY"/>
          <w14:ligatures w14:val="none"/>
        </w:rPr>
        <w:t>autogestiva</w:t>
      </w:r>
      <w:proofErr w:type="spellEnd"/>
      <w:r w:rsidRPr="009552D9">
        <w:rPr>
          <w:rFonts w:eastAsia="Times New Roman" w:cs="Times New Roman"/>
          <w:color w:val="1D1D1B"/>
          <w:kern w:val="0"/>
          <w:sz w:val="24"/>
          <w:szCs w:val="24"/>
          <w:lang w:eastAsia="es-UY"/>
          <w14:ligatures w14:val="none"/>
        </w:rPr>
        <w:t>, juegan los docentes que atienden escuelas en contextos indígenas. Muestra de ello son los egresados de la Escuela Normal Bilingüe e Intercultural de Oaxaca. En el marco del XXV aniversario de la unidad educativa, analizaban sus trayectorias docentes y enfatizaban la carencia de materiales educativos en lenguas originarias pero señalaban diversas estrategias de creación de materiales por cuenta propi: títeres, loterías, materiales audiovisuales, libros, juegos y cantos. Esto habla de un compromiso de los docentes hacia las niñeces indígenas. </w:t>
      </w:r>
    </w:p>
    <w:p w14:paraId="6AEB6F0A" w14:textId="77777777" w:rsidR="009552D9" w:rsidRPr="009552D9" w:rsidRDefault="009552D9" w:rsidP="009552D9">
      <w:pPr>
        <w:shd w:val="clear" w:color="auto" w:fill="FFFFFF"/>
        <w:spacing w:after="100" w:afterAutospacing="1" w:line="240" w:lineRule="auto"/>
        <w:jc w:val="both"/>
        <w:rPr>
          <w:rFonts w:eastAsia="Times New Roman" w:cs="Times New Roman"/>
          <w:color w:val="1D1D1B"/>
          <w:kern w:val="0"/>
          <w:sz w:val="24"/>
          <w:szCs w:val="24"/>
          <w:lang w:eastAsia="es-UY"/>
          <w14:ligatures w14:val="none"/>
        </w:rPr>
      </w:pPr>
      <w:r w:rsidRPr="009552D9">
        <w:rPr>
          <w:rFonts w:eastAsia="Times New Roman" w:cs="Times New Roman"/>
          <w:color w:val="1D1D1B"/>
          <w:kern w:val="0"/>
          <w:sz w:val="24"/>
          <w:szCs w:val="24"/>
          <w:lang w:eastAsia="es-UY"/>
          <w14:ligatures w14:val="none"/>
        </w:rPr>
        <w:t>Finalmente, debemos advertir que los esfuerzos que existen en nivel primaria por llevar a cabo una educación intercultural bilingüe suelen verse afectados porque en nivel secundaria prácticamente no existen modelos educativos con perspectiva intercultural bilingüe (salvo algunos casos como las secundarias comunitarias indígenas). Y lo mismo ocurre en nivel media superior. Por todo esto, se requiere pensar en un sistema educativo integral donde prevalezca una línea intercultural que garantice el fortalecimiento de dichas prácticas durante toda la trayectoria escolar de los estudiantes.</w:t>
      </w:r>
    </w:p>
    <w:p w14:paraId="650FCEDD" w14:textId="77777777" w:rsidR="009552D9" w:rsidRPr="009552D9" w:rsidRDefault="009552D9" w:rsidP="009552D9">
      <w:pPr>
        <w:shd w:val="clear" w:color="auto" w:fill="FFFFFF"/>
        <w:spacing w:after="0" w:line="240" w:lineRule="auto"/>
        <w:jc w:val="both"/>
        <w:rPr>
          <w:rFonts w:eastAsia="Times New Roman" w:cs="Times New Roman"/>
          <w:color w:val="2B7AAA"/>
          <w:kern w:val="0"/>
          <w:sz w:val="24"/>
          <w:szCs w:val="24"/>
          <w:lang w:eastAsia="es-UY"/>
          <w14:ligatures w14:val="none"/>
        </w:rPr>
      </w:pPr>
      <w:r w:rsidRPr="009552D9">
        <w:rPr>
          <w:rFonts w:eastAsia="Times New Roman" w:cs="Times New Roman"/>
          <w:noProof/>
          <w:color w:val="2B7AAA"/>
          <w:kern w:val="0"/>
          <w:sz w:val="24"/>
          <w:szCs w:val="24"/>
          <w:lang w:eastAsia="es-UY"/>
          <w14:ligatures w14:val="none"/>
        </w:rPr>
        <w:drawing>
          <wp:inline distT="0" distB="0" distL="0" distR="0" wp14:anchorId="2F08E99B" wp14:editId="03F6AD63">
            <wp:extent cx="952500" cy="952500"/>
            <wp:effectExtent l="0" t="0" r="0" b="0"/>
            <wp:docPr id="5" name="Imagen 1" descr="Edgar Pérez Río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gar Pérez Río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A7FD46B" w14:textId="77777777" w:rsidR="009552D9" w:rsidRPr="009552D9" w:rsidRDefault="009552D9" w:rsidP="009552D9">
      <w:pPr>
        <w:shd w:val="clear" w:color="auto" w:fill="FFFFFF"/>
        <w:spacing w:after="100" w:afterAutospacing="1" w:line="240" w:lineRule="auto"/>
        <w:jc w:val="both"/>
        <w:rPr>
          <w:rFonts w:eastAsia="Times New Roman" w:cs="Times New Roman"/>
          <w:color w:val="2B7AAA"/>
          <w:kern w:val="0"/>
          <w:sz w:val="24"/>
          <w:szCs w:val="24"/>
          <w:lang w:eastAsia="es-UY"/>
          <w14:ligatures w14:val="none"/>
        </w:rPr>
      </w:pPr>
      <w:hyperlink r:id="rId21" w:history="1">
        <w:r w:rsidRPr="009552D9">
          <w:rPr>
            <w:rFonts w:eastAsia="Times New Roman" w:cs="Times New Roman"/>
            <w:b/>
            <w:bCs/>
            <w:color w:val="2B7AAA"/>
            <w:kern w:val="0"/>
            <w:sz w:val="24"/>
            <w:szCs w:val="24"/>
            <w:lang w:eastAsia="es-UY"/>
            <w14:ligatures w14:val="none"/>
          </w:rPr>
          <w:t>Edgar Pérez Ríos </w:t>
        </w:r>
      </w:hyperlink>
      <w:r w:rsidRPr="009552D9">
        <w:rPr>
          <w:rFonts w:eastAsia="Times New Roman" w:cs="Times New Roman"/>
          <w:color w:val="2B7AAA"/>
          <w:kern w:val="0"/>
          <w:sz w:val="24"/>
          <w:szCs w:val="24"/>
          <w:lang w:eastAsia="es-UY"/>
          <w14:ligatures w14:val="none"/>
        </w:rPr>
        <w:t>es Doctor en Ciencias, en la Especialidad de Investigaciones Educativas (Cinvestav-IPN). Es miembro del Sistema Nacional de Investigadoras e Investigadores, Socio Titular del Consejo Mexicano de Investigación Educativa y miembro de la Red de Formadores en Educación e Interculturalidad en América Latina.</w:t>
      </w:r>
    </w:p>
    <w:p w14:paraId="2CF618EC" w14:textId="14EFE198" w:rsidR="00926044" w:rsidRDefault="009552D9">
      <w:hyperlink r:id="rId22" w:history="1">
        <w:r w:rsidRPr="00855BF7">
          <w:rPr>
            <w:rStyle w:val="Hipervnculo"/>
          </w:rPr>
          <w:t>https://debatesindigenas.org/2025/03/01/una-mirada-a-la-situacion-actual-de-la-educacion-intercultural-bilingue-en-mexico/</w:t>
        </w:r>
      </w:hyperlink>
    </w:p>
    <w:p w14:paraId="6DC3EACE" w14:textId="77777777" w:rsidR="009552D9" w:rsidRDefault="009552D9"/>
    <w:sectPr w:rsidR="009552D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2D9"/>
    <w:rsid w:val="00926044"/>
    <w:rsid w:val="009552D9"/>
    <w:rsid w:val="009D350E"/>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63698"/>
  <w15:chartTrackingRefBased/>
  <w15:docId w15:val="{0C7327F9-47CB-445C-A820-720CF7EE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55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55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552D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552D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552D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552D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552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552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552D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52D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552D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552D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552D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552D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552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552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552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552D9"/>
    <w:rPr>
      <w:rFonts w:eastAsiaTheme="majorEastAsia" w:cstheme="majorBidi"/>
      <w:color w:val="272727" w:themeColor="text1" w:themeTint="D8"/>
    </w:rPr>
  </w:style>
  <w:style w:type="paragraph" w:styleId="Ttulo">
    <w:name w:val="Title"/>
    <w:basedOn w:val="Normal"/>
    <w:next w:val="Normal"/>
    <w:link w:val="TtuloCar"/>
    <w:uiPriority w:val="10"/>
    <w:qFormat/>
    <w:rsid w:val="00955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52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552D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552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552D9"/>
    <w:pPr>
      <w:spacing w:before="160"/>
      <w:jc w:val="center"/>
    </w:pPr>
    <w:rPr>
      <w:i/>
      <w:iCs/>
      <w:color w:val="404040" w:themeColor="text1" w:themeTint="BF"/>
    </w:rPr>
  </w:style>
  <w:style w:type="character" w:customStyle="1" w:styleId="CitaCar">
    <w:name w:val="Cita Car"/>
    <w:basedOn w:val="Fuentedeprrafopredeter"/>
    <w:link w:val="Cita"/>
    <w:uiPriority w:val="29"/>
    <w:rsid w:val="009552D9"/>
    <w:rPr>
      <w:i/>
      <w:iCs/>
      <w:color w:val="404040" w:themeColor="text1" w:themeTint="BF"/>
    </w:rPr>
  </w:style>
  <w:style w:type="paragraph" w:styleId="Prrafodelista">
    <w:name w:val="List Paragraph"/>
    <w:basedOn w:val="Normal"/>
    <w:uiPriority w:val="34"/>
    <w:qFormat/>
    <w:rsid w:val="009552D9"/>
    <w:pPr>
      <w:ind w:left="720"/>
      <w:contextualSpacing/>
    </w:pPr>
  </w:style>
  <w:style w:type="character" w:styleId="nfasisintenso">
    <w:name w:val="Intense Emphasis"/>
    <w:basedOn w:val="Fuentedeprrafopredeter"/>
    <w:uiPriority w:val="21"/>
    <w:qFormat/>
    <w:rsid w:val="009552D9"/>
    <w:rPr>
      <w:i/>
      <w:iCs/>
      <w:color w:val="0F4761" w:themeColor="accent1" w:themeShade="BF"/>
    </w:rPr>
  </w:style>
  <w:style w:type="paragraph" w:styleId="Citadestacada">
    <w:name w:val="Intense Quote"/>
    <w:basedOn w:val="Normal"/>
    <w:next w:val="Normal"/>
    <w:link w:val="CitadestacadaCar"/>
    <w:uiPriority w:val="30"/>
    <w:qFormat/>
    <w:rsid w:val="00955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552D9"/>
    <w:rPr>
      <w:i/>
      <w:iCs/>
      <w:color w:val="0F4761" w:themeColor="accent1" w:themeShade="BF"/>
    </w:rPr>
  </w:style>
  <w:style w:type="character" w:styleId="Referenciaintensa">
    <w:name w:val="Intense Reference"/>
    <w:basedOn w:val="Fuentedeprrafopredeter"/>
    <w:uiPriority w:val="32"/>
    <w:qFormat/>
    <w:rsid w:val="009552D9"/>
    <w:rPr>
      <w:b/>
      <w:bCs/>
      <w:smallCaps/>
      <w:color w:val="0F4761" w:themeColor="accent1" w:themeShade="BF"/>
      <w:spacing w:val="5"/>
    </w:rPr>
  </w:style>
  <w:style w:type="character" w:styleId="Hipervnculo">
    <w:name w:val="Hyperlink"/>
    <w:basedOn w:val="Fuentedeprrafopredeter"/>
    <w:uiPriority w:val="99"/>
    <w:unhideWhenUsed/>
    <w:rsid w:val="009552D9"/>
    <w:rPr>
      <w:color w:val="467886" w:themeColor="hyperlink"/>
      <w:u w:val="single"/>
    </w:rPr>
  </w:style>
  <w:style w:type="character" w:styleId="Mencinsinresolver">
    <w:name w:val="Unresolved Mention"/>
    <w:basedOn w:val="Fuentedeprrafopredeter"/>
    <w:uiPriority w:val="99"/>
    <w:semiHidden/>
    <w:unhideWhenUsed/>
    <w:rsid w:val="00955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515377">
      <w:bodyDiv w:val="1"/>
      <w:marLeft w:val="0"/>
      <w:marRight w:val="0"/>
      <w:marTop w:val="0"/>
      <w:marBottom w:val="0"/>
      <w:divBdr>
        <w:top w:val="none" w:sz="0" w:space="0" w:color="auto"/>
        <w:left w:val="none" w:sz="0" w:space="0" w:color="auto"/>
        <w:bottom w:val="none" w:sz="0" w:space="0" w:color="auto"/>
        <w:right w:val="none" w:sz="0" w:space="0" w:color="auto"/>
      </w:divBdr>
    </w:div>
    <w:div w:id="1476877326">
      <w:bodyDiv w:val="1"/>
      <w:marLeft w:val="0"/>
      <w:marRight w:val="0"/>
      <w:marTop w:val="0"/>
      <w:marBottom w:val="0"/>
      <w:divBdr>
        <w:top w:val="none" w:sz="0" w:space="0" w:color="auto"/>
        <w:left w:val="none" w:sz="0" w:space="0" w:color="auto"/>
        <w:bottom w:val="none" w:sz="0" w:space="0" w:color="auto"/>
        <w:right w:val="none" w:sz="0" w:space="0" w:color="auto"/>
      </w:divBdr>
      <w:divsChild>
        <w:div w:id="1617180187">
          <w:marLeft w:val="0"/>
          <w:marRight w:val="0"/>
          <w:marTop w:val="0"/>
          <w:marBottom w:val="0"/>
          <w:divBdr>
            <w:top w:val="none" w:sz="0" w:space="0" w:color="auto"/>
            <w:left w:val="none" w:sz="0" w:space="0" w:color="auto"/>
            <w:bottom w:val="none" w:sz="0" w:space="0" w:color="auto"/>
            <w:right w:val="none" w:sz="0" w:space="0" w:color="auto"/>
          </w:divBdr>
        </w:div>
        <w:div w:id="2060787636">
          <w:marLeft w:val="0"/>
          <w:marRight w:val="0"/>
          <w:marTop w:val="0"/>
          <w:marBottom w:val="0"/>
          <w:divBdr>
            <w:top w:val="none" w:sz="0" w:space="0" w:color="auto"/>
            <w:left w:val="none" w:sz="0" w:space="0" w:color="auto"/>
            <w:bottom w:val="none" w:sz="0" w:space="0" w:color="auto"/>
            <w:right w:val="none" w:sz="0" w:space="0" w:color="auto"/>
          </w:divBdr>
          <w:divsChild>
            <w:div w:id="1161118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04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ncos22oaxaca.org/wp-content/uploads/2023/08/El_PTEO_frentealaspoliticaseducativasglobales2023.pdf" TargetMode="External"/><Relationship Id="rId13" Type="http://schemas.openxmlformats.org/officeDocument/2006/relationships/hyperlink" Target="https://www.puees.unam.mx/curso2022/materiales/Sesion4/Dietz_etal2019_LasUniversidadesInterculturalesEnMexico.pdf"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debatesindigenas.org/author/edgar-perez-rios/" TargetMode="External"/><Relationship Id="rId7" Type="http://schemas.openxmlformats.org/officeDocument/2006/relationships/hyperlink" Target="https://www.facebook.com/cencos22oaxaca/posts/pfbid02iasKvxrcEAN91CrAfezVxuFbyW6aBhLqNgQAHjnNEDaDYajrFxvUSsHT2FqTvC83l?locale=es_LA" TargetMode="External"/><Relationship Id="rId12" Type="http://schemas.openxmlformats.org/officeDocument/2006/relationships/hyperlink" Target="https://www.facebook.com/cencos22oaxaca/posts/pfbid0iiWnCNazeHCTx5LmLmekCBLic1Gqu24iS1eteKGqMaQK1jMfSABMMrWfSZAenMCtl?locale=es_LA" TargetMode="External"/><Relationship Id="rId17" Type="http://schemas.openxmlformats.org/officeDocument/2006/relationships/hyperlink" Target="https://www.unesco.org/es/articles/la-declaracion-de-los-pinos-chapoltepek-sienta-las-bases-para-la-planificacion-global-del-decenio" TargetMode="External"/><Relationship Id="rId2" Type="http://schemas.openxmlformats.org/officeDocument/2006/relationships/styles" Target="styles.xml"/><Relationship Id="rId16" Type="http://schemas.openxmlformats.org/officeDocument/2006/relationships/hyperlink" Target="https://commons.wikimedia.org/wiki/File:Escuela_Primaria_Rebelde_Autonoma_Zapatista.jp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vocesnormalistas.org/2020/02/19/9a-reunion-de-normales-interculturales-bilingues/"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ommons.wikimedia.org/wiki/File:Escuela_Primaria_Rebelde_Autonoma_Zapatista.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ebatesindigenas.org/author/edgar-perez-rios/" TargetMode="External"/><Relationship Id="rId4" Type="http://schemas.openxmlformats.org/officeDocument/2006/relationships/webSettings" Target="webSettings.xml"/><Relationship Id="rId9" Type="http://schemas.openxmlformats.org/officeDocument/2006/relationships/hyperlink" Target="https://educacionbasica.sep.gob.mx/wp-content/uploads/2024/06/Plan-de-Estudio-ISBN-ELECTRONICO.pdf" TargetMode="External"/><Relationship Id="rId14" Type="http://schemas.openxmlformats.org/officeDocument/2006/relationships/image" Target="media/image4.jpeg"/><Relationship Id="rId22" Type="http://schemas.openxmlformats.org/officeDocument/2006/relationships/hyperlink" Target="https://debatesindigenas.org/2025/03/01/una-mirada-a-la-situacion-actual-de-la-educacion-intercultural-bilingue-en-mexi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F7E04-B1A3-490F-90A7-C0DAD1C8C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2031</Words>
  <Characters>11174</Characters>
  <Application>Microsoft Office Word</Application>
  <DocSecurity>0</DocSecurity>
  <Lines>93</Lines>
  <Paragraphs>26</Paragraphs>
  <ScaleCrop>false</ScaleCrop>
  <Company/>
  <LinksUpToDate>false</LinksUpToDate>
  <CharactersWithSpaces>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2025-03-11T15:02:00Z</dcterms:created>
  <dcterms:modified xsi:type="dcterms:W3CDTF">2025-03-11T15:06:00Z</dcterms:modified>
</cp:coreProperties>
</file>