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DBDC2" w14:textId="77777777" w:rsidR="00397662" w:rsidRPr="00397662" w:rsidRDefault="00397662" w:rsidP="00397662">
      <w:pPr>
        <w:pBdr>
          <w:bottom w:val="single" w:sz="6" w:space="8" w:color="EAECEF"/>
        </w:pBdr>
        <w:spacing w:before="360"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24292E"/>
          <w:kern w:val="36"/>
          <w:sz w:val="48"/>
          <w:szCs w:val="48"/>
          <w:lang w:eastAsia="es-UY"/>
          <w14:ligatures w14:val="none"/>
        </w:rPr>
      </w:pPr>
      <w:r w:rsidRPr="00397662">
        <w:rPr>
          <w:rFonts w:ascii="Times New Roman" w:eastAsia="Times New Roman" w:hAnsi="Times New Roman" w:cs="Times New Roman"/>
          <w:b/>
          <w:bCs/>
          <w:color w:val="24292E"/>
          <w:kern w:val="36"/>
          <w:sz w:val="48"/>
          <w:szCs w:val="48"/>
          <w:lang w:eastAsia="es-UY"/>
          <w14:ligatures w14:val="none"/>
        </w:rPr>
        <w:t xml:space="preserve">Tiempos difíciles: hitos y tendencias que marcaron el 2024 latinoamericano y caribeño (I). Lautaro </w:t>
      </w:r>
      <w:proofErr w:type="spellStart"/>
      <w:r w:rsidRPr="00397662">
        <w:rPr>
          <w:rFonts w:ascii="Times New Roman" w:eastAsia="Times New Roman" w:hAnsi="Times New Roman" w:cs="Times New Roman"/>
          <w:b/>
          <w:bCs/>
          <w:color w:val="24292E"/>
          <w:kern w:val="36"/>
          <w:sz w:val="48"/>
          <w:szCs w:val="48"/>
          <w:lang w:eastAsia="es-UY"/>
          <w14:ligatures w14:val="none"/>
        </w:rPr>
        <w:t>Rivara</w:t>
      </w:r>
      <w:proofErr w:type="spellEnd"/>
      <w:r w:rsidRPr="00397662">
        <w:rPr>
          <w:rFonts w:ascii="Times New Roman" w:eastAsia="Times New Roman" w:hAnsi="Times New Roman" w:cs="Times New Roman"/>
          <w:b/>
          <w:bCs/>
          <w:color w:val="24292E"/>
          <w:kern w:val="36"/>
          <w:sz w:val="48"/>
          <w:szCs w:val="48"/>
          <w:lang w:eastAsia="es-UY"/>
          <w14:ligatures w14:val="none"/>
        </w:rPr>
        <w:t>. Diciembre 2024.</w:t>
      </w:r>
    </w:p>
    <w:p w14:paraId="1C15AB59" w14:textId="77777777" w:rsidR="00397662" w:rsidRPr="00397662" w:rsidRDefault="00397662" w:rsidP="003976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397662">
        <w:rPr>
          <w:rFonts w:ascii="Times New Roman" w:eastAsia="Times New Roman" w:hAnsi="Times New Roman" w:cs="Times New Roman"/>
          <w:color w:val="9A9A9A"/>
          <w:kern w:val="0"/>
          <w:sz w:val="24"/>
          <w:szCs w:val="24"/>
          <w:lang w:eastAsia="es-UY"/>
          <w14:ligatures w14:val="none"/>
        </w:rPr>
        <w:t>Publicada el </w:t>
      </w:r>
      <w:hyperlink r:id="rId4" w:history="1">
        <w:r w:rsidRPr="0039766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es-UY"/>
            <w14:ligatures w14:val="none"/>
          </w:rPr>
          <w:t>01/01/2025</w:t>
        </w:r>
      </w:hyperlink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 | </w:t>
      </w:r>
      <w:r w:rsidRPr="00397662">
        <w:rPr>
          <w:rFonts w:ascii="Times New Roman" w:eastAsia="Times New Roman" w:hAnsi="Times New Roman" w:cs="Times New Roman"/>
          <w:color w:val="9A9A9A"/>
          <w:kern w:val="0"/>
          <w:sz w:val="24"/>
          <w:szCs w:val="24"/>
          <w:lang w:eastAsia="es-UY"/>
          <w14:ligatures w14:val="none"/>
        </w:rPr>
        <w:t>por </w:t>
      </w:r>
      <w:hyperlink r:id="rId5" w:history="1">
        <w:r w:rsidRPr="0039766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es-UY"/>
            <w14:ligatures w14:val="none"/>
          </w:rPr>
          <w:t>SIEP</w:t>
        </w:r>
      </w:hyperlink>
    </w:p>
    <w:p w14:paraId="065B3014" w14:textId="77777777" w:rsidR="00397662" w:rsidRPr="00397662" w:rsidRDefault="00397662" w:rsidP="00397662">
      <w:pPr>
        <w:spacing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Toda síntesis de la extensa, contradictoria y no siempre sincrónica región latinoamericana y caribeña debe adolecer, necesariamente, de los inevitables pecados de la arbitrariedad y la simplificación. Sin embargo, un reducido itinerario por algunos de los hechos y tendencias más sobresalientes del año que se va puede dar indicios de la orientación general de una región que solo puede ser comprendida como una unidad histórica y geopolítica.</w:t>
      </w:r>
    </w:p>
    <w:p w14:paraId="73503253" w14:textId="77777777" w:rsidR="00397662" w:rsidRPr="00397662" w:rsidRDefault="00397662" w:rsidP="00397662">
      <w:pPr>
        <w:spacing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3976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UY"/>
          <w14:ligatures w14:val="none"/>
        </w:rPr>
        <w:t>El estancamiento económico de la región</w:t>
      </w:r>
    </w:p>
    <w:p w14:paraId="66A789CB" w14:textId="77777777" w:rsidR="00397662" w:rsidRPr="00397662" w:rsidRDefault="00397662" w:rsidP="00397662">
      <w:pPr>
        <w:spacing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hyperlink r:id="rId6" w:tgtFrame="_blank" w:history="1">
        <w:r w:rsidRPr="0039766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es-UY"/>
            <w14:ligatures w14:val="none"/>
          </w:rPr>
          <w:t>Según la CEPAL</w:t>
        </w:r>
      </w:hyperlink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, el 2024 redondeó casi un decenio de estancamiento económico generalizado en América Latina y el Caribe. Ni conservadores ni progresistas, ni propios ni extraños, ni tirios ni troyanos, pudieron en ningún caso alardear de tasas de crecimiento excesivamente altas o de indicadores económicos lo suficientemente estables o promisorios.</w:t>
      </w:r>
    </w:p>
    <w:p w14:paraId="445E2376" w14:textId="77777777" w:rsidR="00397662" w:rsidRPr="00397662" w:rsidRDefault="00397662" w:rsidP="00397662">
      <w:pPr>
        <w:spacing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 xml:space="preserve">Entre los casos más sobresalientes, encontramos economías altamente desiguales, concentradas y dependientes de los servicios logísticos, financieros y turísticos internacionales como República Dominicana y Panamá. O casos totalmente excepcionales como el de Guyana, que en el último bienio rompió todas las métricas tras el descubrimiento de grandes yacimientos </w:t>
      </w:r>
      <w:proofErr w:type="spellStart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hidrocarburíferos</w:t>
      </w:r>
      <w:proofErr w:type="spellEnd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 xml:space="preserve"> en la región del Esequibo, que se encuentra en litigio con la vecina Venezuela. Positivos fueron también los indicadores de crecimiento en países con gobiernos progresistas o de izquierda como </w:t>
      </w:r>
      <w:hyperlink r:id="rId7" w:tgtFrame="_blank" w:history="1">
        <w:r w:rsidRPr="0039766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es-UY"/>
            <w14:ligatures w14:val="none"/>
          </w:rPr>
          <w:t>México</w:t>
        </w:r>
      </w:hyperlink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 (en clave de estabilidad y previsibilidad) y </w:t>
      </w:r>
      <w:hyperlink r:id="rId8" w:tgtFrame="_blank" w:history="1">
        <w:r w:rsidRPr="0039766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es-UY"/>
            <w14:ligatures w14:val="none"/>
          </w:rPr>
          <w:t>Venezuela</w:t>
        </w:r>
      </w:hyperlink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 (en clave de recuperación respecto del punto más álgido de las medidas coercitivas unilaterales), pero en ambos casos con una alta incidencia de las remesas, las “maquilas” y las “zonas económica especiales”. Como sea, estos desempeños se encuentran muy lejanos de los de grandes potencias emergentes como China, la India, Turquía o Indonesia.</w:t>
      </w:r>
    </w:p>
    <w:p w14:paraId="6A83433A" w14:textId="77777777" w:rsidR="00397662" w:rsidRPr="00397662" w:rsidRDefault="00397662" w:rsidP="00397662">
      <w:pPr>
        <w:spacing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Pero si las causas de los muy relativos “éxitos” macroeconómicos son poco evidentes o difícilmente imputables a tal o cual modelo o liderazgo, no sucede lo mismo con los incontestables fracasos de los países que dan patadas de ahogado al fondo de la tabla: tanto </w:t>
      </w:r>
      <w:hyperlink r:id="rId9" w:tgtFrame="_blank" w:history="1">
        <w:r w:rsidRPr="0039766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es-UY"/>
            <w14:ligatures w14:val="none"/>
          </w:rPr>
          <w:t>la Argentina anarco-capitalista de Javier Milei y su «Ley Bases»</w:t>
        </w:r>
      </w:hyperlink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 como </w:t>
      </w:r>
      <w:hyperlink r:id="rId10" w:tgtFrame="_blank" w:history="1">
        <w:r w:rsidRPr="0039766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es-UY"/>
            <w14:ligatures w14:val="none"/>
          </w:rPr>
          <w:t>el Haití dominado por grupos paramilitares</w:t>
        </w:r>
      </w:hyperlink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 xml:space="preserve"> (ambos con los mayores récords recesivos) aparecen como una consecuencia explícita de una suerte de </w:t>
      </w:r>
      <w:proofErr w:type="spellStart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post-estatalidad</w:t>
      </w:r>
      <w:proofErr w:type="spellEnd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 xml:space="preserve"> salvaje y de una nueva gobernabilidad de tipo </w:t>
      </w:r>
      <w:proofErr w:type="spellStart"/>
      <w:r w:rsidRPr="0039766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UY"/>
          <w14:ligatures w14:val="none"/>
        </w:rPr>
        <w:t>madmaxiana</w:t>
      </w:r>
      <w:proofErr w:type="spellEnd"/>
      <w:r w:rsidRPr="0039766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UY"/>
          <w14:ligatures w14:val="none"/>
        </w:rPr>
        <w:t>.</w:t>
      </w:r>
    </w:p>
    <w:p w14:paraId="48B6EE59" w14:textId="77777777" w:rsidR="00397662" w:rsidRPr="00397662" w:rsidRDefault="00397662" w:rsidP="00397662">
      <w:pPr>
        <w:spacing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lastRenderedPageBreak/>
        <w:t xml:space="preserve">La década de la contraofensiva regional conservadora, pero también los primeros años de la “segunda ola progresista”, no lograron rebasar un cuadro generalizado de estancamiento que viene a demostrar que la región nunca superó del todo la gran crisis económica de 2008 ni mucho menos la pandemia del Covid-19. Ciclos políticos breves con una gran alternancia ideológica se sobreimprimen sobre ciclos económicos chatos, de bajo crecimiento, </w:t>
      </w:r>
      <w:proofErr w:type="spellStart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amesetamiento</w:t>
      </w:r>
      <w:proofErr w:type="spellEnd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 xml:space="preserve"> de las exportaciones, escasa inversión, condiciones financieras internacionales adversas y una todavía alta inflación. Frente a un mundo volátil, la economía latinoamericana y caribeña permaneció este año, periférica y dependiente, en estado de crisis casi permanente.</w:t>
      </w:r>
    </w:p>
    <w:p w14:paraId="2CE2A3DA" w14:textId="77777777" w:rsidR="00397662" w:rsidRPr="00397662" w:rsidRDefault="00397662" w:rsidP="00397662">
      <w:pPr>
        <w:spacing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3976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UY"/>
          <w14:ligatures w14:val="none"/>
        </w:rPr>
        <w:t>Las cumbres de la CPAC y la consolidación de la «internacional reaccionaria»</w:t>
      </w:r>
    </w:p>
    <w:p w14:paraId="0DB49BAB" w14:textId="77777777" w:rsidR="00397662" w:rsidRPr="00397662" w:rsidRDefault="00397662" w:rsidP="00397662">
      <w:pPr>
        <w:spacing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 xml:space="preserve">Las nuevas derechas radicales rinden culto a una frase acuñada por la narrativa apocalíptica del escritor estadounidense G. Michael </w:t>
      </w:r>
      <w:proofErr w:type="spellStart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Hopf</w:t>
      </w:r>
      <w:proofErr w:type="spellEnd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 xml:space="preserve">: “los tiempos difíciles crean hombres fuertes”. En efecto, fuertes (y también inclementes) han sido los gobiernos ultraderechistas de </w:t>
      </w:r>
      <w:proofErr w:type="spellStart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Nayib</w:t>
      </w:r>
      <w:proofErr w:type="spellEnd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 xml:space="preserve"> </w:t>
      </w:r>
      <w:proofErr w:type="spellStart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Bukele</w:t>
      </w:r>
      <w:proofErr w:type="spellEnd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 xml:space="preserve"> en El Salvador, Javier Milei en la Argentina y Daniel Noboa en Ecuador, principales abanderados del giro conservador en la región. Medidas económicas draconianas, países “atendidos por sus propios dueños”, liderazgos autoritarios con toques carismáticos y políticas de seguridad altamente punitivas han sido sus marcas de identidad. Con acaso menor conocimiento y encanto, tendencias similares se han verificado también en </w:t>
      </w:r>
      <w:hyperlink r:id="rId11" w:tgtFrame="_blank" w:history="1">
        <w:r w:rsidRPr="0039766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es-UY"/>
            <w14:ligatures w14:val="none"/>
          </w:rPr>
          <w:t>Panamá</w:t>
        </w:r>
      </w:hyperlink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, </w:t>
      </w:r>
      <w:hyperlink r:id="rId12" w:tgtFrame="_blank" w:history="1">
        <w:r w:rsidRPr="0039766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es-UY"/>
            <w14:ligatures w14:val="none"/>
          </w:rPr>
          <w:t>República Dominicana</w:t>
        </w:r>
      </w:hyperlink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 o</w:t>
      </w:r>
      <w:hyperlink r:id="rId13" w:tgtFrame="_blank" w:history="1">
        <w:r w:rsidRPr="0039766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es-UY"/>
            <w14:ligatures w14:val="none"/>
          </w:rPr>
          <w:t> Perú</w:t>
        </w:r>
      </w:hyperlink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.</w:t>
      </w:r>
    </w:p>
    <w:p w14:paraId="64C4AECF" w14:textId="77777777" w:rsidR="00397662" w:rsidRPr="00397662" w:rsidRDefault="00397662" w:rsidP="00397662">
      <w:pPr>
        <w:spacing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Sin embargo, la novedad del momento es la consolidación de las redes internacionales de estas nuevas derechas y su inscripción en </w:t>
      </w:r>
      <w:hyperlink r:id="rId14" w:tgtFrame="_blank" w:history="1">
        <w:r w:rsidRPr="0039766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es-UY"/>
            <w14:ligatures w14:val="none"/>
          </w:rPr>
          <w:t>una auténtica “internacional reaccionaria”</w:t>
        </w:r>
      </w:hyperlink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 conformada por la CPAC y por una vasta red de </w:t>
      </w:r>
      <w:proofErr w:type="spellStart"/>
      <w:r w:rsidRPr="0039766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UY"/>
          <w14:ligatures w14:val="none"/>
        </w:rPr>
        <w:t>think</w:t>
      </w:r>
      <w:proofErr w:type="spellEnd"/>
      <w:r w:rsidRPr="0039766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UY"/>
          <w14:ligatures w14:val="none"/>
        </w:rPr>
        <w:t xml:space="preserve"> </w:t>
      </w:r>
      <w:proofErr w:type="spellStart"/>
      <w:r w:rsidRPr="0039766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UY"/>
          <w14:ligatures w14:val="none"/>
        </w:rPr>
        <w:t>tanks</w:t>
      </w:r>
      <w:proofErr w:type="spellEnd"/>
      <w:r w:rsidRPr="0039766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s-UY"/>
          <w14:ligatures w14:val="none"/>
        </w:rPr>
        <w:t>, </w:t>
      </w:r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fundaciones, mecenas y partidos políticos con terminales en los Estados Unidos y Europa. Así, 2024 fue el año de su irradiación definitiva en la región, a caballo de las sucesivas cumbres realizadas en agosto en Ciudad de México y en diciembre en Buenos Aires, y del patrocinio explícito de Donald Trump a algunos de sus subalternos ideológicos preferidos. </w:t>
      </w:r>
    </w:p>
    <w:p w14:paraId="6873242C" w14:textId="77777777" w:rsidR="00397662" w:rsidRPr="00397662" w:rsidRDefault="00397662" w:rsidP="00397662">
      <w:pPr>
        <w:spacing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 xml:space="preserve">Por eso, este proceso no puede entenderse sin la exportación de la “grieta” estadounidense, que ha impulsado toda una serie de realineamientos en las derechas vernáculas de cara al fenómeno </w:t>
      </w:r>
      <w:proofErr w:type="spellStart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trumpista</w:t>
      </w:r>
      <w:proofErr w:type="spellEnd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 xml:space="preserve">. El revisionismo histórico a lo MAGA o directamente la nostalgia colonial, el calco de una retórica rabiosamente </w:t>
      </w:r>
      <w:proofErr w:type="spellStart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antimigrante</w:t>
      </w:r>
      <w:proofErr w:type="spellEnd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 xml:space="preserve"> que paradójicamente se vuelve contra los propios países emisores de migración y la combinación esperpéntica de modelos económicos aperturistas y la invocación del proteccionismo </w:t>
      </w:r>
      <w:proofErr w:type="spellStart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trumpiano</w:t>
      </w:r>
      <w:proofErr w:type="spellEnd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, dan cuenta de las contradicciones insolubles de la implantación del “</w:t>
      </w:r>
      <w:proofErr w:type="spellStart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anti-globalismo</w:t>
      </w:r>
      <w:proofErr w:type="spellEnd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” y la agenda “</w:t>
      </w:r>
      <w:proofErr w:type="spellStart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anti-woke</w:t>
      </w:r>
      <w:proofErr w:type="spellEnd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” en otros climas y otras geografías. Como sea, pese a la ilusión de homogeneidad que proyectan los miembros de la disfuncional familia conservadora, no caben dudas de que su articulación se ha fortalecido y de que su capacidad de respuesta y construcción de agendas comunes está hoy más aceitada que nunca.</w:t>
      </w:r>
    </w:p>
    <w:p w14:paraId="243F982F" w14:textId="77777777" w:rsidR="00397662" w:rsidRPr="00397662" w:rsidRDefault="00397662" w:rsidP="00397662">
      <w:pPr>
        <w:spacing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3976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UY"/>
          <w14:ligatures w14:val="none"/>
        </w:rPr>
        <w:t>El crecimiento de los factores armados y el recrudecer de la violencia</w:t>
      </w:r>
    </w:p>
    <w:p w14:paraId="36BE01A4" w14:textId="77777777" w:rsidR="00397662" w:rsidRPr="00397662" w:rsidRDefault="00397662" w:rsidP="00397662">
      <w:pPr>
        <w:spacing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No sería exagerado definir el 2024 regional como un año ultraviolento. </w:t>
      </w:r>
      <w:hyperlink r:id="rId15" w:tgtFrame="_blank" w:history="1">
        <w:r w:rsidRPr="0039766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es-UY"/>
            <w14:ligatures w14:val="none"/>
          </w:rPr>
          <w:t>La multiplicación, crecimiento y expansión de los factores armados</w:t>
        </w:r>
      </w:hyperlink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 xml:space="preserve"> y de todo tipo de </w:t>
      </w:r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lastRenderedPageBreak/>
        <w:t xml:space="preserve">violencias no deja de constatarse a lo largo y ancho de la geografía continental. En casi todos lados la estatalidad y la </w:t>
      </w:r>
      <w:proofErr w:type="spellStart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comunitariedad</w:t>
      </w:r>
      <w:proofErr w:type="spellEnd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 xml:space="preserve"> languidecen en favor de la irrupción de la </w:t>
      </w:r>
      <w:proofErr w:type="spellStart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para-estatalidad</w:t>
      </w:r>
      <w:proofErr w:type="spellEnd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 xml:space="preserve">, el narcotráfico y las soberanías fragmentadas, cuyos pedazos se reparten remanentes de instituciones democráticas, comunidades resistentes (barriales, campesinas, indígenas, afrodescendientes), grupos delincuenciales, formaciones paramilitares, cárteles de la droga, fuerzas militares extranjeras, </w:t>
      </w:r>
      <w:proofErr w:type="spellStart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ONGs</w:t>
      </w:r>
      <w:proofErr w:type="spellEnd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 xml:space="preserve"> internacionales, grupos confesionales, etcétera.</w:t>
      </w:r>
    </w:p>
    <w:p w14:paraId="3251BDC1" w14:textId="77777777" w:rsidR="00397662" w:rsidRPr="00397662" w:rsidRDefault="00397662" w:rsidP="00397662">
      <w:pPr>
        <w:spacing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 xml:space="preserve">Algunos hitos de esta tendencia son, en Ecuador, la debacle </w:t>
      </w:r>
      <w:proofErr w:type="spellStart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securitaria</w:t>
      </w:r>
      <w:proofErr w:type="spellEnd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, la extensión del sicariato, los motines carcelarios, </w:t>
      </w:r>
      <w:hyperlink r:id="rId16" w:tgtFrame="_blank" w:history="1">
        <w:r w:rsidRPr="0039766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es-UY"/>
            <w14:ligatures w14:val="none"/>
          </w:rPr>
          <w:t>la Consulta de Noboa del 21 de abril</w:t>
        </w:r>
      </w:hyperlink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 xml:space="preserve">, el intento de modificar la Constitución para reinstalar bases militares extranjeras y la desaparición forzada de tres adolescentes y un niño por parte de las fuerzas armadas el 8 de diciembre. En Argentina, la popularización de la punitiva «Doctrina </w:t>
      </w:r>
      <w:proofErr w:type="spellStart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Chocobar</w:t>
      </w:r>
      <w:proofErr w:type="spellEnd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» de la ministra Patricia Bullrich, el crecimiento de la violencia ciudadana y la ingente partida presupuestaria discrecional que el gobierno de Milei intentó destinar a los servicios de inteligencia, presuntamente para tareas de espionaje y represión interna.</w:t>
      </w:r>
    </w:p>
    <w:p w14:paraId="04E97267" w14:textId="77777777" w:rsidR="00397662" w:rsidRPr="00397662" w:rsidRDefault="00397662" w:rsidP="00397662">
      <w:pPr>
        <w:spacing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 xml:space="preserve">En Perú, el visto bueno del Congreso para el ingreso de militares estadounidenses para “colaborar” con las fuerzas armadas y la policía local a partir del año entrante, así como la impunidad ante las masacres cometidas por el gobierno de Dina </w:t>
      </w:r>
      <w:proofErr w:type="spellStart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Boluarte</w:t>
      </w:r>
      <w:proofErr w:type="spellEnd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 xml:space="preserve">. En Chile, la militarización rigurosa y permanente de la Araucanía y de las poblaciones indígenas mapuches, incluso bajo un gobierno como el de Gabriel </w:t>
      </w:r>
      <w:proofErr w:type="spellStart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Boric</w:t>
      </w:r>
      <w:proofErr w:type="spellEnd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 xml:space="preserve">. En Paraguay, la cesión del control de la estratégica </w:t>
      </w:r>
      <w:proofErr w:type="spellStart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hidrovía</w:t>
      </w:r>
      <w:proofErr w:type="spellEnd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 xml:space="preserve"> Paraná-Paraguay al Cuerpo de Ingenieros del Ejército de los Estados Unidos. En El Salvador, la instalación del modelo de las “</w:t>
      </w:r>
      <w:proofErr w:type="spellStart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mega-cárceles</w:t>
      </w:r>
      <w:proofErr w:type="spellEnd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”, el encarcelamiento masivo de más de mil personas cada 100 mil habitantes y la instauración de un “régimen de excepción permanente” que viola las garantías constitucionales y los derechos humanos del conjunto de los y las salvadoreñas. En Haití, </w:t>
      </w:r>
      <w:hyperlink r:id="rId17" w:tgtFrame="_blank" w:history="1">
        <w:r w:rsidRPr="0039766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es-UY"/>
            <w14:ligatures w14:val="none"/>
          </w:rPr>
          <w:t>la federación de grupos paramilitares </w:t>
        </w:r>
      </w:hyperlink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que controlan ya más del 80 por ciento de la ciudad capital y sus alrededores y que amenazan con balcanizar y dominar todo el territorio nacional.</w:t>
      </w:r>
    </w:p>
    <w:p w14:paraId="0AD6925E" w14:textId="77777777" w:rsidR="00397662" w:rsidRPr="00397662" w:rsidRDefault="00397662" w:rsidP="00397662">
      <w:pPr>
        <w:spacing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 xml:space="preserve">En lo que respecta a gobiernos progresistas que como el de México o Colombia rigen los destinos de naciones que han sido víctimas, durante décadas, de las políticas contrainsurgentes y de la mal llamada “guerra contra las drogas” (en rigor, una guerra contra las poblaciones), la permanencia del conflicto, de espacios de </w:t>
      </w:r>
      <w:proofErr w:type="spellStart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para-estatalidad</w:t>
      </w:r>
      <w:proofErr w:type="spellEnd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, y el poderío sostenido de las economías ilícitas, demuestran la dificultad de subsanar, en los breves ciclos electorales, la extensión y profundidad de los ciclos de la guerra, en una geografía del conflicto que muta y se desplaza pero se resiste a ceder paso a una soberanía estatal o comunitaria efectiva.</w:t>
      </w:r>
    </w:p>
    <w:p w14:paraId="64B9D56C" w14:textId="77777777" w:rsidR="00397662" w:rsidRPr="00397662" w:rsidRDefault="00397662" w:rsidP="00397662">
      <w:pPr>
        <w:spacing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Por último, y en toda la región, </w:t>
      </w:r>
      <w:hyperlink r:id="rId18" w:tgtFrame="_blank" w:history="1">
        <w:r w:rsidRPr="0039766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es-UY"/>
            <w14:ligatures w14:val="none"/>
          </w:rPr>
          <w:t>se multiplican las giras de la CIA y el Comando Sur</w:t>
        </w:r>
      </w:hyperlink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, en la búsqueda de establecer un “área de exclusión” que deje por fuera del “patio trasero” estadounidense a jugadores globales como China y Rusia, así como se verifica </w:t>
      </w:r>
      <w:hyperlink r:id="rId19" w:tgtFrame="_blank" w:history="1">
        <w:r w:rsidRPr="0039766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es-UY"/>
            <w14:ligatures w14:val="none"/>
          </w:rPr>
          <w:t>la preeminencia de un lobby militarista israelí </w:t>
        </w:r>
      </w:hyperlink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que continúa vendiendo software espía, armas y tecnología militar de punta pese a su creciente aislamiento internacional.</w:t>
      </w:r>
    </w:p>
    <w:p w14:paraId="483D6FB1" w14:textId="77777777" w:rsidR="00397662" w:rsidRPr="00397662" w:rsidRDefault="00397662" w:rsidP="00397662">
      <w:pPr>
        <w:spacing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Tampoco la violencia sexual escapó a esta tendencia: durante el primer semestre del año</w:t>
      </w:r>
      <w:hyperlink r:id="rId20" w:anchor="6d8439a5-bc9e-4415-8700-d045681260cd" w:tgtFrame="_blank" w:history="1">
        <w:r w:rsidRPr="0039766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es-UY"/>
            <w14:ligatures w14:val="none"/>
          </w:rPr>
          <w:t> se documentaron 2.128 feminicidios</w:t>
        </w:r>
      </w:hyperlink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 xml:space="preserve"> en 16 países de la región, resultando en una </w:t>
      </w:r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lastRenderedPageBreak/>
        <w:t xml:space="preserve">media de un feminicidio cada dos horas, en un promedio que supera al de </w:t>
      </w:r>
      <w:proofErr w:type="spellStart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de</w:t>
      </w:r>
      <w:proofErr w:type="spellEnd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 xml:space="preserve"> años anteriores.</w:t>
      </w:r>
    </w:p>
    <w:p w14:paraId="77F2C2DF" w14:textId="77777777" w:rsidR="00397662" w:rsidRPr="00397662" w:rsidRDefault="00397662" w:rsidP="00397662">
      <w:pPr>
        <w:spacing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3976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UY"/>
          <w14:ligatures w14:val="none"/>
        </w:rPr>
        <w:t xml:space="preserve">El apático retorno de la CELAC y </w:t>
      </w:r>
      <w:proofErr w:type="gramStart"/>
      <w:r w:rsidRPr="003976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UY"/>
          <w14:ligatures w14:val="none"/>
        </w:rPr>
        <w:t>la fuerzas centrífugas</w:t>
      </w:r>
      <w:proofErr w:type="gramEnd"/>
      <w:r w:rsidRPr="003976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UY"/>
          <w14:ligatures w14:val="none"/>
        </w:rPr>
        <w:t xml:space="preserve"> de la geopolítica global</w:t>
      </w:r>
    </w:p>
    <w:p w14:paraId="372AE298" w14:textId="77777777" w:rsidR="00397662" w:rsidRPr="00397662" w:rsidRDefault="00397662" w:rsidP="00397662">
      <w:pPr>
        <w:spacing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Una forma de medir los bríos relativos de un espacio de articulación y concertación es dar seguimiento a sus novedades más allá y más acá de la convocatoria rutinaria a reuniones, foros y cumbres. En el caso de la CELAC, apenas si tuvimos noticias del espacio más amplio y comprensivo de la integración regional desde la </w:t>
      </w:r>
      <w:hyperlink r:id="rId21" w:tgtFrame="_blank" w:history="1">
        <w:r w:rsidRPr="0039766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es-UY"/>
            <w14:ligatures w14:val="none"/>
          </w:rPr>
          <w:t>cumbre de marzo de este año</w:t>
        </w:r>
      </w:hyperlink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 (amén de algunos posicionamientos de rigor, como sucedió frente al </w:t>
      </w:r>
      <w:hyperlink r:id="rId22" w:tgtFrame="_blank" w:history="1">
        <w:r w:rsidRPr="0039766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es-UY"/>
            <w14:ligatures w14:val="none"/>
          </w:rPr>
          <w:t>asalto del gobierno ecuatoriano a la embajada mexicana en Quito</w:t>
        </w:r>
      </w:hyperlink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). A la sorda protesta de los gobiernos conservadores y a los faltazos de sus líderes regionales en una cumbre que el ex presidente pro témpore Ralph Gonsalves definió como “mutuamente insatisfactoria”, se sumó una declaración final más bien laxa y el anunció de una serie de medidas concretas y discretas de las que no se ha dado mayor seguimiento público: mejorar la conectividad aérea, establecer un organismo sanitario regional y generar un marco para validar internacionalmente los títulos educativos. Nada se sabe sobre eventuales avances al respecto.</w:t>
      </w:r>
    </w:p>
    <w:p w14:paraId="0343A52F" w14:textId="77777777" w:rsidR="00397662" w:rsidRPr="00397662" w:rsidRDefault="00397662" w:rsidP="00397662">
      <w:pPr>
        <w:spacing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 xml:space="preserve">Como siempre, más estrecho geográficamente pero más dinámico y homogéneo políticamente ha sido el radio de acción de ALBA-TCP, el bloque integracionista que encabezan Venezuela, Cuba, Nicaragua y Bolivia, y que incluye también a varios países del Caribe insular. Este mismo mes, el espacio fundado por Hugo Chávez y Fidel Castro cumplió dos décadas de existencia, con un historial de avanzada en el campo del comercio, la educación, la salud y la energía, que sin embargo sufrió los embates de las crisis respectivas de Venezuela, Cuba y Bolivia. Al anunciado relanzamiento de la plataforma de cooperación energética </w:t>
      </w:r>
      <w:proofErr w:type="spellStart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PetroCaribe</w:t>
      </w:r>
      <w:proofErr w:type="spellEnd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 xml:space="preserve"> se suma ahora</w:t>
      </w:r>
      <w:hyperlink r:id="rId23" w:tgtFrame="_blank" w:history="1">
        <w:r w:rsidRPr="0039766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es-UY"/>
            <w14:ligatures w14:val="none"/>
          </w:rPr>
          <w:t xml:space="preserve"> el proyecto </w:t>
        </w:r>
        <w:proofErr w:type="spellStart"/>
        <w:r w:rsidRPr="0039766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es-UY"/>
            <w14:ligatures w14:val="none"/>
          </w:rPr>
          <w:t>AgroAlba</w:t>
        </w:r>
        <w:proofErr w:type="spellEnd"/>
      </w:hyperlink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, que según sus impulsores buscará “promover la soberanía alimentaria” y “producir alimentos orgánicos y sanos” para la región.</w:t>
      </w:r>
    </w:p>
    <w:p w14:paraId="5524A5E2" w14:textId="77777777" w:rsidR="00397662" w:rsidRPr="00397662" w:rsidRDefault="00397662" w:rsidP="00397662">
      <w:pPr>
        <w:spacing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Sin embargo, no todo fue armonía y concertación en el amplio espectro de las izquierdas y los progresismos de la región durante el 2024. Dos hechos sacudieron este año la precaria unidad del espacio:</w:t>
      </w:r>
      <w:hyperlink r:id="rId24" w:tgtFrame="_blank" w:history="1">
        <w:r w:rsidRPr="0039766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es-UY"/>
            <w14:ligatures w14:val="none"/>
          </w:rPr>
          <w:t> las elecciones presidenciales de Venezuela del mes de julio</w:t>
        </w:r>
      </w:hyperlink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 xml:space="preserve">, cuyos resultados oficiales fueron negados con animosidad por los gobiernos centristas de Gabriel </w:t>
      </w:r>
      <w:proofErr w:type="spellStart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Boric</w:t>
      </w:r>
      <w:proofErr w:type="spellEnd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 xml:space="preserve"> en Chile y Bernardo Arévalo en Guatemala, y resistidos con suspicacias y matices en el caso de sus homólogos de Colombia y sobre todo Brasil. Otro hito, para algunos una suerte de respuesta al primero, fue</w:t>
      </w:r>
      <w:hyperlink r:id="rId25" w:tgtFrame="_blank" w:history="1">
        <w:r w:rsidRPr="0039766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es-UY"/>
            <w14:ligatures w14:val="none"/>
          </w:rPr>
          <w:t> el veto de Lula da Silva y la Cancillería brasileña al esperado ingreso de Venezuela al bloque de los BRICS</w:t>
        </w:r>
      </w:hyperlink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 xml:space="preserve">, que de este modo solo se abrió, en la región, a la participación de Cuba y Bolivia durante la 16° cumbre de Kazán, en Octubre. Acaso ningún acontecimiento señaló de manera tan nítida como las elecciones venezolanas y su veto explícito en los BRICS que los caminos de las izquierdas y los progresismos de la región dan señales de bifurcación que podrían llegar a un punto de no retorno. A las diferencias de modelos económicos, competencias por el liderazgo regional, concepciones de la democracia y el poder, asincronía de las diferentes “oleadas progresistas” y posicionamiento desigual frente al </w:t>
      </w:r>
      <w:proofErr w:type="spellStart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hegemón</w:t>
      </w:r>
      <w:proofErr w:type="spellEnd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 xml:space="preserve"> norteamericano, se suman las tendencias centrífugas de la geopolítica mundial, que fuerzan a una región incapaz de unificarse a tomar partido de manera aislada o por bloques por alguno de los bandos en pugna en la transición hegemónica en curso. La diferencia entre “izquierdas sociales”, “izquierdas políticas” e “izquierdas </w:t>
      </w:r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lastRenderedPageBreak/>
        <w:t xml:space="preserve">geopolíticas” no necesariamente llevará a que la región aproveche las oportunidades de la multipolaridad, pero si a que sufra todos sus avatares y peligros, sin importar cuáles sean los contenidos efectivos que a esta perspectiva se le </w:t>
      </w:r>
      <w:proofErr w:type="spellStart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de</w:t>
      </w:r>
      <w:proofErr w:type="spellEnd"/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 xml:space="preserve"> en Beijing, Moscú, Brasilia o Caracas.</w:t>
      </w:r>
    </w:p>
    <w:p w14:paraId="6180CFD6" w14:textId="77777777" w:rsidR="00397662" w:rsidRDefault="00397662" w:rsidP="003976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397662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Publicada en </w:t>
      </w:r>
      <w:hyperlink r:id="rId26" w:history="1">
        <w:r w:rsidRPr="0039766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val="pt-PT" w:eastAsia="es-UY"/>
            <w14:ligatures w14:val="none"/>
          </w:rPr>
          <w:t>Artículos</w:t>
        </w:r>
      </w:hyperlink>
    </w:p>
    <w:p w14:paraId="79FCB694" w14:textId="66213581" w:rsidR="00397662" w:rsidRDefault="00397662" w:rsidP="003976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hyperlink r:id="rId27" w:history="1">
        <w:r w:rsidRPr="00D73B97">
          <w:rPr>
            <w:rStyle w:val="Hipervnculo"/>
            <w:rFonts w:ascii="Times New Roman" w:eastAsia="Times New Roman" w:hAnsi="Times New Roman" w:cs="Times New Roman"/>
            <w:kern w:val="0"/>
            <w:sz w:val="24"/>
            <w:szCs w:val="24"/>
            <w:lang w:eastAsia="es-UY"/>
            <w14:ligatures w14:val="none"/>
          </w:rPr>
          <w:t>https://ecumenico.org/tiempos-dificiles-hitos-y-tendencias-que-marcaron-el-2024-latinoamericano-y-caribeno-i-lautaro-rivara-diciembre-2024</w:t>
        </w:r>
      </w:hyperlink>
    </w:p>
    <w:p w14:paraId="409EE585" w14:textId="77777777" w:rsidR="00397662" w:rsidRPr="00397662" w:rsidRDefault="00397662" w:rsidP="003976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</w:p>
    <w:p w14:paraId="5084A592" w14:textId="77777777" w:rsidR="00397662" w:rsidRPr="00397662" w:rsidRDefault="00397662" w:rsidP="003976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</w:p>
    <w:sectPr w:rsidR="00397662" w:rsidRPr="003976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62"/>
    <w:rsid w:val="00397662"/>
    <w:rsid w:val="00926044"/>
    <w:rsid w:val="00CA06D9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CEE3"/>
  <w15:chartTrackingRefBased/>
  <w15:docId w15:val="{6C476A70-501D-4EF3-970E-1D302546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7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7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76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7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76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7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7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7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7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76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76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76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76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76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76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76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76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76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97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97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97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97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97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976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976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976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7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76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9766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9766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7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1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4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rio.red/articulo/america-latina/asedio-desgaste-recuperacion-elecciones-venezolanas/20240728122334033353.html" TargetMode="External"/><Relationship Id="rId13" Type="http://schemas.openxmlformats.org/officeDocument/2006/relationships/hyperlink" Target="https://www.alai.info/golpe-real-y-caricatura-de-golpe-una-entrevista-con-hector-bejar/" TargetMode="External"/><Relationship Id="rId18" Type="http://schemas.openxmlformats.org/officeDocument/2006/relationships/hyperlink" Target="https://www.diario.red/articulo/america-latina/la-guerra-tibia-un-aniversario-de-la-dictadura-con-la-cia-en-la-argentina/20240324060000028638.html" TargetMode="External"/><Relationship Id="rId26" Type="http://schemas.openxmlformats.org/officeDocument/2006/relationships/hyperlink" Target="https://ecumenico.org/category/articulo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agina12.com.ar/718773-celac-y-la-integracion-andante-ma-non-troppo" TargetMode="External"/><Relationship Id="rId7" Type="http://schemas.openxmlformats.org/officeDocument/2006/relationships/hyperlink" Target="https://www.diario.red/articulo/america-latina/economia-fuerte-transicion-ordenada-claves-oficialismo-cara-elecciones-mexicanas/20240526205856030714.html" TargetMode="External"/><Relationship Id="rId12" Type="http://schemas.openxmlformats.org/officeDocument/2006/relationships/hyperlink" Target="https://www.pagina12.com.ar/789355-republica-dominicana-gira-a-la-derecha" TargetMode="External"/><Relationship Id="rId17" Type="http://schemas.openxmlformats.org/officeDocument/2006/relationships/hyperlink" Target="https://www.diario.red/articulo/america-latina/haiti-las-vias-muertas-del-paramilitarismo-y-la-intervencion/20240306170130023997.html" TargetMode="External"/><Relationship Id="rId25" Type="http://schemas.openxmlformats.org/officeDocument/2006/relationships/hyperlink" Target="https://www.brasildefato.com.br/2024/10/25/venezuela-critica-veto-do-brasil-a-entrada-do-pais-no-brics-gesto-hosti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iario.red/articulo/america-latina/la-consulta-de-ecuador/20240422121036029023.html" TargetMode="External"/><Relationship Id="rId20" Type="http://schemas.openxmlformats.org/officeDocument/2006/relationships/hyperlink" Target="https://mundosur.org/1-feminicidio-cada-2-horas-en-america-latina-y-el-caribe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epal.org/es/comunicados/economias-america-latina-caribe-mantienen-un-crecimiento-se-expandiran-22-2024-24-2025" TargetMode="External"/><Relationship Id="rId11" Type="http://schemas.openxmlformats.org/officeDocument/2006/relationships/hyperlink" Target="https://todoslospuentes.com/2024/06/12/politica-y-geopolitica-en-el-puente-del-mundo-una-conversacion-con-olmedo-beluche/" TargetMode="External"/><Relationship Id="rId24" Type="http://schemas.openxmlformats.org/officeDocument/2006/relationships/hyperlink" Target="https://www.pagina12.com.ar/756062-reconocimientos-suspicacias-y-denuncias-sobre-venezuela" TargetMode="External"/><Relationship Id="rId5" Type="http://schemas.openxmlformats.org/officeDocument/2006/relationships/hyperlink" Target="https://ecumenico.org/author/siep" TargetMode="External"/><Relationship Id="rId15" Type="http://schemas.openxmlformats.org/officeDocument/2006/relationships/hyperlink" Target="https://www.pagina12.com.ar/705900-violencia-y-autoritarismo-en-america-latina-y-el-caribe" TargetMode="External"/><Relationship Id="rId23" Type="http://schemas.openxmlformats.org/officeDocument/2006/relationships/hyperlink" Target="https://www.prensa-latina.cu/2024/12/14/aprueban-documento-para-nacimiento-de-proyecto-agroalba-del-alba-tcp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diario.red/opinion/lautaro-rivara/operacion-masacre-balcanes-caribenos/20241215104611039899.html" TargetMode="External"/><Relationship Id="rId19" Type="http://schemas.openxmlformats.org/officeDocument/2006/relationships/hyperlink" Target="https://www.diario.red/articulo/america-latina/relaciones-peligrosas-los-pecados-de-israel-en-america-latina/20240318060000024163.html" TargetMode="External"/><Relationship Id="rId4" Type="http://schemas.openxmlformats.org/officeDocument/2006/relationships/hyperlink" Target="https://ecumenico.org/tiempos-dificiles-hitos-y-tendencias-que-marcaron-el-2024-latinoamericano-y-caribeno-i-lautaro-rivara-diciembre-2024" TargetMode="External"/><Relationship Id="rId9" Type="http://schemas.openxmlformats.org/officeDocument/2006/relationships/hyperlink" Target="https://www.diario.red/articulo/america-latina/ley-bases-argentina-sienta-bases-destruccion-comun/20240612145510031384.html" TargetMode="External"/><Relationship Id="rId14" Type="http://schemas.openxmlformats.org/officeDocument/2006/relationships/hyperlink" Target="https://www.diario.red/articulo/america-latina/que-es-que-busca-nueva-internacional-reaccionaria/20240826124039034383.html" TargetMode="External"/><Relationship Id="rId22" Type="http://schemas.openxmlformats.org/officeDocument/2006/relationships/hyperlink" Target="https://www.pagina12.com.ar/727554-por-que-el-gobierno-ecuatoriano-asalto-la-embajada-mexicana" TargetMode="External"/><Relationship Id="rId27" Type="http://schemas.openxmlformats.org/officeDocument/2006/relationships/hyperlink" Target="https://ecumenico.org/tiempos-dificiles-hitos-y-tendencias-que-marcaron-el-2024-latinoamericano-y-caribeno-i-lautaro-rivara-diciembre-202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2553</Words>
  <Characters>14043</Characters>
  <Application>Microsoft Office Word</Application>
  <DocSecurity>0</DocSecurity>
  <Lines>117</Lines>
  <Paragraphs>33</Paragraphs>
  <ScaleCrop>false</ScaleCrop>
  <Company/>
  <LinksUpToDate>false</LinksUpToDate>
  <CharactersWithSpaces>16563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2025-01-10T23:27:00Z</dcterms:created>
  <dcterms:modified xsi:type="dcterms:W3CDTF">2025-01-10T23:28:00Z</dcterms:modified>
</cp:coreProperties>
</file>