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85223" w14:textId="77777777" w:rsidR="00DC3EBB" w:rsidRPr="00DC3EBB" w:rsidRDefault="00DC3EBB" w:rsidP="00DC3EBB">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C3EBB">
        <w:rPr>
          <w:rFonts w:ascii="Arial" w:eastAsia="Times New Roman" w:hAnsi="Arial" w:cs="Arial"/>
          <w:b/>
          <w:bCs/>
          <w:color w:val="222222"/>
          <w:kern w:val="0"/>
          <w:sz w:val="32"/>
          <w:szCs w:val="32"/>
          <w:lang w:eastAsia="es-UY"/>
          <w14:ligatures w14:val="none"/>
        </w:rPr>
        <w:t>La novedad de Jesús resulta dura aún para los discípulos</w:t>
      </w:r>
    </w:p>
    <w:p w14:paraId="6733C57B" w14:textId="77777777" w:rsidR="00DC3EBB" w:rsidRPr="00DC3EBB" w:rsidRDefault="00DC3EBB" w:rsidP="00DC3EBB">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8"/>
          <w:szCs w:val="28"/>
          <w:lang w:eastAsia="es-UY"/>
          <w14:ligatures w14:val="none"/>
        </w:rPr>
        <w:t>DOMINGO VIGESIMOPRIMERO - "B"</w:t>
      </w:r>
    </w:p>
    <w:p w14:paraId="482BE570"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70DC6CA"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469009B3" w14:textId="77777777" w:rsidR="00DC3EBB" w:rsidRPr="00DC3EBB" w:rsidRDefault="00DC3EBB" w:rsidP="00DC3EBB">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DC3EBB">
        <w:rPr>
          <w:rFonts w:ascii="Arial" w:eastAsia="Times New Roman" w:hAnsi="Arial" w:cs="Arial"/>
          <w:i/>
          <w:iCs/>
          <w:color w:val="222222"/>
          <w:kern w:val="0"/>
          <w:sz w:val="24"/>
          <w:szCs w:val="24"/>
          <w:lang w:eastAsia="es-UY"/>
          <w14:ligatures w14:val="none"/>
        </w:rPr>
        <w:t>Eduardo de la Serna</w:t>
      </w:r>
    </w:p>
    <w:p w14:paraId="1ED0FB76"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24B92C4" w14:textId="2575F7AC" w:rsidR="00DC3EBB" w:rsidRPr="00DC3EBB" w:rsidRDefault="00DC3EBB" w:rsidP="00DC3EBB">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384A4C2F"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15597EE5" w14:textId="6B3FEF55" w:rsidR="00DC3EBB" w:rsidRPr="00DC3EBB" w:rsidRDefault="00DC3EBB" w:rsidP="00DC3EBB">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66CFEE7D" wp14:editId="0C9C8250">
            <wp:extent cx="2305050" cy="1944886"/>
            <wp:effectExtent l="0" t="0" r="0" b="0"/>
            <wp:docPr id="1376323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776" cy="1948030"/>
                    </a:xfrm>
                    <a:prstGeom prst="rect">
                      <a:avLst/>
                    </a:prstGeom>
                    <a:noFill/>
                  </pic:spPr>
                </pic:pic>
              </a:graphicData>
            </a:graphic>
          </wp:inline>
        </w:drawing>
      </w:r>
    </w:p>
    <w:p w14:paraId="2565C62C"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4C705B8D"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b/>
          <w:bCs/>
          <w:color w:val="222222"/>
          <w:kern w:val="0"/>
          <w:sz w:val="24"/>
          <w:szCs w:val="24"/>
          <w:lang w:eastAsia="es-UY"/>
          <w14:ligatures w14:val="none"/>
        </w:rPr>
        <w:t>Lectura del libro de Josué</w:t>
      </w:r>
      <w:r w:rsidRPr="00DC3EBB">
        <w:rPr>
          <w:rFonts w:ascii="Arial" w:eastAsia="Times New Roman" w:hAnsi="Arial" w:cs="Arial"/>
          <w:color w:val="222222"/>
          <w:kern w:val="0"/>
          <w:sz w:val="24"/>
          <w:szCs w:val="24"/>
          <w:lang w:eastAsia="es-UY"/>
          <w14:ligatures w14:val="none"/>
        </w:rPr>
        <w:t>     24, 1-2a. 15-17. 18b</w:t>
      </w:r>
      <w:r w:rsidRPr="00DC3EBB">
        <w:rPr>
          <w:rFonts w:ascii="Arial" w:eastAsia="Times New Roman" w:hAnsi="Arial" w:cs="Arial"/>
          <w:color w:val="222222"/>
          <w:kern w:val="0"/>
          <w:sz w:val="24"/>
          <w:szCs w:val="24"/>
          <w:lang w:eastAsia="es-UY"/>
          <w14:ligatures w14:val="none"/>
        </w:rPr>
        <w:br/>
      </w:r>
      <w:r w:rsidRPr="00DC3EBB">
        <w:rPr>
          <w:rFonts w:ascii="Arial" w:eastAsia="Times New Roman" w:hAnsi="Arial" w:cs="Arial"/>
          <w:color w:val="222222"/>
          <w:kern w:val="0"/>
          <w:sz w:val="24"/>
          <w:szCs w:val="24"/>
          <w:lang w:eastAsia="es-UY"/>
          <w14:ligatures w14:val="none"/>
        </w:rPr>
        <w:br/>
      </w:r>
      <w:r w:rsidRPr="00DC3EBB">
        <w:rPr>
          <w:rFonts w:ascii="Arial" w:eastAsia="Times New Roman" w:hAnsi="Arial" w:cs="Arial"/>
          <w:i/>
          <w:iCs/>
          <w:color w:val="222222"/>
          <w:kern w:val="0"/>
          <w:sz w:val="24"/>
          <w:szCs w:val="24"/>
          <w:lang w:eastAsia="es-UY"/>
          <w14:ligatures w14:val="none"/>
        </w:rPr>
        <w:t>Resumen: en el contexto de una alianza de las tribus de Jacob Josué invita al pueblo a hacer una opción en favor de Yahvé o servir otros dioses.</w:t>
      </w:r>
    </w:p>
    <w:p w14:paraId="0D751AB3"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608DFCC6"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El libro de Josué llega a su fin. Todo él está estructurado en torno a la llegada y entrada a la tierra de la Promesa. Las tribus se han localizado y antes de empezar el nuevo capítulo (el libro de los Jueces) se establece una alianza.</w:t>
      </w:r>
    </w:p>
    <w:p w14:paraId="4227172A"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70B07AED"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No es el caso en este lugar detenernos en el acontecimiento – o probable acontecimiento – histórico. Lo cierto es que las diversas tribus (sean estas cuales fueren y cuantas fueren) se comprometen entre sí, se reconocen mutuamente como hermanas. De parte de Dios, Josué pronuncia un discurso mostrando la intervención de Dios en la historia pasada (omitido en el texto litúrgico, vv.2b-14). En realidad, Josué comienza hablando de parte de Dios (texto omitido) y finaliza hablando él al pueblo como consecuencia de esto: “elijan ustedes” … “yo y mi casa”. Sin duda es el texto clave de la unidad. Una alianza no sólo establece una relación entre las partes, sino que se remite a una divinidad (o a la divinidad de cada parte) a modo de garante. En otra breve omisión del texto (nuevamente falta la referencia al accionar de Dios en la historia con los otros pueblos dejando sólo la alusión a Egipto que sintetiza brevemente todo la anterior en el accionar de Dios) las restantes tribus también reconocen a Yahvé como su Dios.</w:t>
      </w:r>
    </w:p>
    <w:p w14:paraId="3D68B9AE"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75A80B1E"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Como es fundamental en la teología deuteronomista, la opción está entre Yahvé y los otros dioses, los dioses de los demás pueblos (del otro lado del Río [Éufrates], amorreos) y liberados de otros pueblos (Egipto y de los pueblos del camino del éxodo). </w:t>
      </w:r>
    </w:p>
    <w:p w14:paraId="4ABF85F8"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30834F8A"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lastRenderedPageBreak/>
        <w:t>Así, la alianza de </w:t>
      </w:r>
      <w:proofErr w:type="spellStart"/>
      <w:r w:rsidRPr="00DC3EBB">
        <w:rPr>
          <w:rFonts w:ascii="Arial" w:eastAsia="Times New Roman" w:hAnsi="Arial" w:cs="Arial"/>
          <w:i/>
          <w:iCs/>
          <w:color w:val="222222"/>
          <w:kern w:val="0"/>
          <w:sz w:val="24"/>
          <w:szCs w:val="24"/>
          <w:lang w:eastAsia="es-UY"/>
          <w14:ligatures w14:val="none"/>
        </w:rPr>
        <w:t>Siquem</w:t>
      </w:r>
      <w:proofErr w:type="spellEnd"/>
      <w:r w:rsidRPr="00DC3EBB">
        <w:rPr>
          <w:rFonts w:ascii="Arial" w:eastAsia="Times New Roman" w:hAnsi="Arial" w:cs="Arial"/>
          <w:color w:val="222222"/>
          <w:kern w:val="0"/>
          <w:sz w:val="24"/>
          <w:szCs w:val="24"/>
          <w:lang w:eastAsia="es-UY"/>
          <w14:ligatures w14:val="none"/>
        </w:rPr>
        <w:t> se establece y presenta como “</w:t>
      </w:r>
      <w:r w:rsidRPr="00DC3EBB">
        <w:rPr>
          <w:rFonts w:ascii="Arial" w:eastAsia="Times New Roman" w:hAnsi="Arial" w:cs="Arial"/>
          <w:i/>
          <w:iCs/>
          <w:color w:val="222222"/>
          <w:kern w:val="0"/>
          <w:sz w:val="24"/>
          <w:szCs w:val="24"/>
          <w:lang w:eastAsia="es-UY"/>
          <w14:ligatures w14:val="none"/>
        </w:rPr>
        <w:t>servicio</w:t>
      </w:r>
      <w:r w:rsidRPr="00DC3EBB">
        <w:rPr>
          <w:rFonts w:ascii="Arial" w:eastAsia="Times New Roman" w:hAnsi="Arial" w:cs="Arial"/>
          <w:color w:val="222222"/>
          <w:kern w:val="0"/>
          <w:sz w:val="24"/>
          <w:szCs w:val="24"/>
          <w:lang w:eastAsia="es-UY"/>
          <w14:ligatures w14:val="none"/>
        </w:rPr>
        <w:t xml:space="preserve">” a los dioses o a Yahvé. Los participantes deben hacer una opción y tomar parte de </w:t>
      </w:r>
      <w:proofErr w:type="gramStart"/>
      <w:r w:rsidRPr="00DC3EBB">
        <w:rPr>
          <w:rFonts w:ascii="Arial" w:eastAsia="Times New Roman" w:hAnsi="Arial" w:cs="Arial"/>
          <w:color w:val="222222"/>
          <w:kern w:val="0"/>
          <w:sz w:val="24"/>
          <w:szCs w:val="24"/>
          <w:lang w:eastAsia="es-UY"/>
          <w14:ligatures w14:val="none"/>
        </w:rPr>
        <w:t>la misma</w:t>
      </w:r>
      <w:proofErr w:type="gramEnd"/>
      <w:r w:rsidRPr="00DC3EBB">
        <w:rPr>
          <w:rFonts w:ascii="Arial" w:eastAsia="Times New Roman" w:hAnsi="Arial" w:cs="Arial"/>
          <w:color w:val="222222"/>
          <w:kern w:val="0"/>
          <w:sz w:val="24"/>
          <w:szCs w:val="24"/>
          <w:lang w:eastAsia="es-UY"/>
          <w14:ligatures w14:val="none"/>
        </w:rPr>
        <w:t>. O elegir a los dioses de los pueblos, o al Dios que acompaña a su pueblo en la historia de liberación (“</w:t>
      </w:r>
      <w:r w:rsidRPr="00DC3EBB">
        <w:rPr>
          <w:rFonts w:ascii="Arial" w:eastAsia="Times New Roman" w:hAnsi="Arial" w:cs="Arial"/>
          <w:i/>
          <w:iCs/>
          <w:color w:val="222222"/>
          <w:kern w:val="0"/>
          <w:sz w:val="24"/>
          <w:szCs w:val="24"/>
          <w:lang w:eastAsia="es-UY"/>
          <w14:ligatures w14:val="none"/>
        </w:rPr>
        <w:t>nos hizo subir</w:t>
      </w: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i/>
          <w:iCs/>
          <w:color w:val="222222"/>
          <w:kern w:val="0"/>
          <w:sz w:val="24"/>
          <w:szCs w:val="24"/>
          <w:lang w:eastAsia="es-UY"/>
          <w14:ligatures w14:val="none"/>
        </w:rPr>
        <w:t>obró grandes señales</w:t>
      </w: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i/>
          <w:iCs/>
          <w:color w:val="222222"/>
          <w:kern w:val="0"/>
          <w:sz w:val="24"/>
          <w:szCs w:val="24"/>
          <w:lang w:eastAsia="es-UY"/>
          <w14:ligatures w14:val="none"/>
        </w:rPr>
        <w:t>nos guardó por el camino</w:t>
      </w: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i/>
          <w:iCs/>
          <w:color w:val="222222"/>
          <w:kern w:val="0"/>
          <w:sz w:val="24"/>
          <w:szCs w:val="24"/>
          <w:lang w:eastAsia="es-UY"/>
          <w14:ligatures w14:val="none"/>
        </w:rPr>
        <w:t>expulsó a esos pueblos</w:t>
      </w:r>
      <w:r w:rsidRPr="00DC3EBB">
        <w:rPr>
          <w:rFonts w:ascii="Arial" w:eastAsia="Times New Roman" w:hAnsi="Arial" w:cs="Arial"/>
          <w:color w:val="222222"/>
          <w:kern w:val="0"/>
          <w:sz w:val="24"/>
          <w:szCs w:val="24"/>
          <w:lang w:eastAsia="es-UY"/>
          <w14:ligatures w14:val="none"/>
        </w:rPr>
        <w:t>” …). “</w:t>
      </w:r>
      <w:r w:rsidRPr="00DC3EBB">
        <w:rPr>
          <w:rFonts w:ascii="Arial" w:eastAsia="Times New Roman" w:hAnsi="Arial" w:cs="Arial"/>
          <w:i/>
          <w:iCs/>
          <w:color w:val="222222"/>
          <w:kern w:val="0"/>
          <w:sz w:val="24"/>
          <w:szCs w:val="24"/>
          <w:lang w:eastAsia="es-UY"/>
          <w14:ligatures w14:val="none"/>
        </w:rPr>
        <w:t>Servir a Yahvé</w:t>
      </w:r>
      <w:r w:rsidRPr="00DC3EBB">
        <w:rPr>
          <w:rFonts w:ascii="Arial" w:eastAsia="Times New Roman" w:hAnsi="Arial" w:cs="Arial"/>
          <w:color w:val="222222"/>
          <w:kern w:val="0"/>
          <w:sz w:val="24"/>
          <w:szCs w:val="24"/>
          <w:lang w:eastAsia="es-UY"/>
          <w14:ligatures w14:val="none"/>
        </w:rPr>
        <w:t>” es la respuesta, primero de Josué (y su casa) y luego “</w:t>
      </w:r>
      <w:r w:rsidRPr="00DC3EBB">
        <w:rPr>
          <w:rFonts w:ascii="Arial" w:eastAsia="Times New Roman" w:hAnsi="Arial" w:cs="Arial"/>
          <w:i/>
          <w:iCs/>
          <w:color w:val="222222"/>
          <w:kern w:val="0"/>
          <w:sz w:val="24"/>
          <w:szCs w:val="24"/>
          <w:lang w:eastAsia="es-UY"/>
          <w14:ligatures w14:val="none"/>
        </w:rPr>
        <w:t>el pueblo</w:t>
      </w: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i/>
          <w:iCs/>
          <w:color w:val="222222"/>
          <w:kern w:val="0"/>
          <w:sz w:val="24"/>
          <w:szCs w:val="24"/>
          <w:lang w:eastAsia="es-UY"/>
          <w14:ligatures w14:val="none"/>
        </w:rPr>
        <w:t>(‘am</w:t>
      </w:r>
      <w:r w:rsidRPr="00DC3EBB">
        <w:rPr>
          <w:rFonts w:ascii="Arial" w:eastAsia="Times New Roman" w:hAnsi="Arial" w:cs="Arial"/>
          <w:color w:val="222222"/>
          <w:kern w:val="0"/>
          <w:sz w:val="24"/>
          <w:szCs w:val="24"/>
          <w:lang w:eastAsia="es-UY"/>
          <w14:ligatures w14:val="none"/>
        </w:rPr>
        <w:t>). Pero este servir implica “</w:t>
      </w:r>
      <w:r w:rsidRPr="00DC3EBB">
        <w:rPr>
          <w:rFonts w:ascii="Arial" w:eastAsia="Times New Roman" w:hAnsi="Arial" w:cs="Arial"/>
          <w:i/>
          <w:iCs/>
          <w:color w:val="222222"/>
          <w:kern w:val="0"/>
          <w:sz w:val="24"/>
          <w:szCs w:val="24"/>
          <w:lang w:eastAsia="es-UY"/>
          <w14:ligatures w14:val="none"/>
        </w:rPr>
        <w:t>no abandonar</w:t>
      </w:r>
      <w:r w:rsidRPr="00DC3EBB">
        <w:rPr>
          <w:rFonts w:ascii="Arial" w:eastAsia="Times New Roman" w:hAnsi="Arial" w:cs="Arial"/>
          <w:color w:val="222222"/>
          <w:kern w:val="0"/>
          <w:sz w:val="24"/>
          <w:szCs w:val="24"/>
          <w:lang w:eastAsia="es-UY"/>
          <w14:ligatures w14:val="none"/>
        </w:rPr>
        <w:t>” (v.16) a ese Dios que ha acompañado. El “</w:t>
      </w:r>
      <w:r w:rsidRPr="00DC3EBB">
        <w:rPr>
          <w:rFonts w:ascii="Arial" w:eastAsia="Times New Roman" w:hAnsi="Arial" w:cs="Arial"/>
          <w:i/>
          <w:iCs/>
          <w:color w:val="222222"/>
          <w:kern w:val="0"/>
          <w:sz w:val="24"/>
          <w:szCs w:val="24"/>
          <w:lang w:eastAsia="es-UY"/>
          <w14:ligatures w14:val="none"/>
        </w:rPr>
        <w:t>abandono</w:t>
      </w:r>
      <w:r w:rsidRPr="00DC3EBB">
        <w:rPr>
          <w:rFonts w:ascii="Arial" w:eastAsia="Times New Roman" w:hAnsi="Arial" w:cs="Arial"/>
          <w:color w:val="222222"/>
          <w:kern w:val="0"/>
          <w:sz w:val="24"/>
          <w:szCs w:val="24"/>
          <w:lang w:eastAsia="es-UY"/>
          <w14:ligatures w14:val="none"/>
        </w:rPr>
        <w:t>” de Dios supone una ruptura de la alianza (</w:t>
      </w:r>
      <w:proofErr w:type="spellStart"/>
      <w:r w:rsidRPr="00DC3EBB">
        <w:rPr>
          <w:rFonts w:ascii="Arial" w:eastAsia="Times New Roman" w:hAnsi="Arial" w:cs="Arial"/>
          <w:color w:val="222222"/>
          <w:kern w:val="0"/>
          <w:sz w:val="24"/>
          <w:szCs w:val="24"/>
          <w:lang w:eastAsia="es-UY"/>
          <w14:ligatures w14:val="none"/>
        </w:rPr>
        <w:t>Dt</w:t>
      </w:r>
      <w:proofErr w:type="spellEnd"/>
      <w:r w:rsidRPr="00DC3EBB">
        <w:rPr>
          <w:rFonts w:ascii="Arial" w:eastAsia="Times New Roman" w:hAnsi="Arial" w:cs="Arial"/>
          <w:color w:val="222222"/>
          <w:kern w:val="0"/>
          <w:sz w:val="24"/>
          <w:szCs w:val="24"/>
          <w:lang w:eastAsia="es-UY"/>
          <w14:ligatures w14:val="none"/>
        </w:rPr>
        <w:t xml:space="preserve"> 28,20; 29,24; 31,16) y esto supone consecuencias: “</w:t>
      </w:r>
      <w:r w:rsidRPr="00DC3EBB">
        <w:rPr>
          <w:rFonts w:ascii="Arial" w:eastAsia="Times New Roman" w:hAnsi="Arial" w:cs="Arial"/>
          <w:i/>
          <w:iCs/>
          <w:color w:val="222222"/>
          <w:kern w:val="0"/>
          <w:sz w:val="24"/>
          <w:szCs w:val="24"/>
          <w:lang w:eastAsia="es-UY"/>
          <w14:ligatures w14:val="none"/>
        </w:rPr>
        <w:t>Si abandonan al Señor y sirven a dioses extranjeros, se volverá contra ustedes, y después de haberlos tratado bien, los maltratará y aniquilará</w:t>
      </w:r>
      <w:r w:rsidRPr="00DC3EBB">
        <w:rPr>
          <w:rFonts w:ascii="Arial" w:eastAsia="Times New Roman" w:hAnsi="Arial" w:cs="Arial"/>
          <w:color w:val="222222"/>
          <w:kern w:val="0"/>
          <w:sz w:val="24"/>
          <w:szCs w:val="24"/>
          <w:lang w:eastAsia="es-UY"/>
          <w14:ligatures w14:val="none"/>
        </w:rPr>
        <w:t xml:space="preserve">”. (Jos 24,20). Este es el corazón de la teología deuteronomista: lo que ha ocurrido con Israel (fundamentalmente el exilio) se debe a que han “abandonado” a Yahvé (Jue 2,12; 10,6.10.13; 1 Sam 8,8; 12,10; 1 </w:t>
      </w:r>
      <w:proofErr w:type="gramStart"/>
      <w:r w:rsidRPr="00DC3EBB">
        <w:rPr>
          <w:rFonts w:ascii="Arial" w:eastAsia="Times New Roman" w:hAnsi="Arial" w:cs="Arial"/>
          <w:color w:val="222222"/>
          <w:kern w:val="0"/>
          <w:sz w:val="24"/>
          <w:szCs w:val="24"/>
          <w:lang w:eastAsia="es-UY"/>
          <w14:ligatures w14:val="none"/>
        </w:rPr>
        <w:t>Re 8,57</w:t>
      </w:r>
      <w:proofErr w:type="gramEnd"/>
      <w:r w:rsidRPr="00DC3EBB">
        <w:rPr>
          <w:rFonts w:ascii="Arial" w:eastAsia="Times New Roman" w:hAnsi="Arial" w:cs="Arial"/>
          <w:color w:val="222222"/>
          <w:kern w:val="0"/>
          <w:sz w:val="24"/>
          <w:szCs w:val="24"/>
          <w:lang w:eastAsia="es-UY"/>
          <w14:ligatures w14:val="none"/>
        </w:rPr>
        <w:t>; 9,9; 11,33; 18,18; 19,10.14; 2 Re 17,16; 21,22; 22,17). </w:t>
      </w:r>
    </w:p>
    <w:p w14:paraId="388F2FCF"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6829E765"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xml:space="preserve">Servir a Yahvé o abandonarlo es la disyuntiva ante la que el pueblo se encuentra en </w:t>
      </w:r>
      <w:proofErr w:type="spellStart"/>
      <w:r w:rsidRPr="00DC3EBB">
        <w:rPr>
          <w:rFonts w:ascii="Arial" w:eastAsia="Times New Roman" w:hAnsi="Arial" w:cs="Arial"/>
          <w:color w:val="222222"/>
          <w:kern w:val="0"/>
          <w:sz w:val="24"/>
          <w:szCs w:val="24"/>
          <w:lang w:eastAsia="es-UY"/>
          <w14:ligatures w14:val="none"/>
        </w:rPr>
        <w:t>Siquem</w:t>
      </w:r>
      <w:proofErr w:type="spellEnd"/>
      <w:r w:rsidRPr="00DC3EBB">
        <w:rPr>
          <w:rFonts w:ascii="Arial" w:eastAsia="Times New Roman" w:hAnsi="Arial" w:cs="Arial"/>
          <w:color w:val="222222"/>
          <w:kern w:val="0"/>
          <w:sz w:val="24"/>
          <w:szCs w:val="24"/>
          <w:lang w:eastAsia="es-UY"/>
          <w14:ligatures w14:val="none"/>
        </w:rPr>
        <w:t>. Josué da un paso e invita a los demás a seguirlo.</w:t>
      </w:r>
    </w:p>
    <w:p w14:paraId="2A9F0DAC" w14:textId="77777777" w:rsidR="00DC3EBB" w:rsidRPr="00DC3EBB" w:rsidRDefault="00DC3EBB" w:rsidP="00DC3EBB">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32DC3C41"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b/>
          <w:bCs/>
          <w:color w:val="222222"/>
          <w:kern w:val="0"/>
          <w:sz w:val="24"/>
          <w:szCs w:val="24"/>
          <w:lang w:eastAsia="es-UY"/>
          <w14:ligatures w14:val="none"/>
        </w:rPr>
        <w:t>Lectura de la carta de san Pablo a los cristianos de Éfeso</w:t>
      </w:r>
      <w:r w:rsidRPr="00DC3EBB">
        <w:rPr>
          <w:rFonts w:ascii="Arial" w:eastAsia="Times New Roman" w:hAnsi="Arial" w:cs="Arial"/>
          <w:color w:val="222222"/>
          <w:kern w:val="0"/>
          <w:sz w:val="24"/>
          <w:szCs w:val="24"/>
          <w:lang w:eastAsia="es-UY"/>
          <w14:ligatures w14:val="none"/>
        </w:rPr>
        <w:t>     5, 21-33</w:t>
      </w:r>
      <w:r w:rsidRPr="00DC3EBB">
        <w:rPr>
          <w:rFonts w:ascii="Arial" w:eastAsia="Times New Roman" w:hAnsi="Arial" w:cs="Arial"/>
          <w:color w:val="222222"/>
          <w:kern w:val="0"/>
          <w:sz w:val="24"/>
          <w:szCs w:val="24"/>
          <w:lang w:eastAsia="es-UY"/>
          <w14:ligatures w14:val="none"/>
        </w:rPr>
        <w:br/>
      </w:r>
      <w:r w:rsidRPr="00DC3EBB">
        <w:rPr>
          <w:rFonts w:ascii="Arial" w:eastAsia="Times New Roman" w:hAnsi="Arial" w:cs="Arial"/>
          <w:color w:val="222222"/>
          <w:kern w:val="0"/>
          <w:sz w:val="24"/>
          <w:szCs w:val="24"/>
          <w:lang w:eastAsia="es-UY"/>
          <w14:ligatures w14:val="none"/>
        </w:rPr>
        <w:br/>
      </w:r>
      <w:r w:rsidRPr="00DC3EBB">
        <w:rPr>
          <w:rFonts w:ascii="Arial" w:eastAsia="Times New Roman" w:hAnsi="Arial" w:cs="Arial"/>
          <w:i/>
          <w:iCs/>
          <w:color w:val="222222"/>
          <w:kern w:val="0"/>
          <w:sz w:val="24"/>
          <w:szCs w:val="24"/>
          <w:lang w:eastAsia="es-UY"/>
          <w14:ligatures w14:val="none"/>
        </w:rPr>
        <w:t>Resumen: en un esquema mental y legal propio de su tiempo se presenta un “código” con los roles del varón y la mujer en la “casa”. Sin embargo, a diferencia de los códigos habituales, también el varón tiene una responsabilidad teológica con la mujer.</w:t>
      </w:r>
    </w:p>
    <w:p w14:paraId="46004901"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13FD7878"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Los así llamados “códigos domésticos” no son propios ni exclusivos del llamado “Nuevo Testamento” (o “nueva alianza”, o “biblia cristiana”, o “segundo testamento”), y deben ser entendidos en su tiempo y contexto. Lamentablemente han sido utilizados con mucha frecuencia para referir al lugar secundario que, supuestamente, debería cumplir la mujer con respecto al varón en las comunidades y la vida social-eclesial. Con justicia (y salud) son textos que molestan al universo femenino. Veamos brevemente:</w:t>
      </w:r>
    </w:p>
    <w:p w14:paraId="7E03438B"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E43354A" w14:textId="77777777" w:rsidR="00DC3EBB" w:rsidRPr="00DC3EBB" w:rsidRDefault="00DC3EBB" w:rsidP="00DC3EBB">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xml:space="preserve">Es evidente que Pablo da a la mujer un lugar plenamente igualitario en sus comunidades. Sus discípulos (Colosenses y Efesios pertenecen a discípulos del Apóstol con toda probabilidad) relegan a la mujer (cosa que agravarán más aún las cartas llamadas “Pastorales”). Algo semejante se descubre en la llamada carta Primera de Pedro. No es este el lugar para justificar el justo lugar que la mujer merece, ni tampoco las diferentes etapas del ambiente neotestamentario y su relación con la mujer. Es importantísimo, pero aquí debemos comentar el texto litúrgico. Sin embargo, puntualizaremos muy brevemente el tema porque la victimización de la mujer, su </w:t>
      </w:r>
      <w:proofErr w:type="spellStart"/>
      <w:r w:rsidRPr="00DC3EBB">
        <w:rPr>
          <w:rFonts w:ascii="Arial" w:eastAsia="Times New Roman" w:hAnsi="Arial" w:cs="Arial"/>
          <w:color w:val="222222"/>
          <w:kern w:val="0"/>
          <w:sz w:val="24"/>
          <w:szCs w:val="24"/>
          <w:lang w:eastAsia="es-UY"/>
          <w14:ligatures w14:val="none"/>
        </w:rPr>
        <w:t>invisibilización</w:t>
      </w:r>
      <w:proofErr w:type="spellEnd"/>
      <w:r w:rsidRPr="00DC3EBB">
        <w:rPr>
          <w:rFonts w:ascii="Arial" w:eastAsia="Times New Roman" w:hAnsi="Arial" w:cs="Arial"/>
          <w:color w:val="222222"/>
          <w:kern w:val="0"/>
          <w:sz w:val="24"/>
          <w:szCs w:val="24"/>
          <w:lang w:eastAsia="es-UY"/>
          <w14:ligatures w14:val="none"/>
        </w:rPr>
        <w:t xml:space="preserve"> o su lugar secundario en las comunidades eclesiales lo amerita: Pablo pertenece a la así llamada “primera generación cristiana”, en ella la mujer ocupa un lugar – como el que ocupó en el ministerio de Jesús – de igualdad. Pero el paso a la segunda generación cristiana supuso una “organización”, estructuración de la comunidad eclesial. Y esta estructuración se dio siguiendo el modelo social de “la casa”. Esta es el ámbito en el cual un varón desarrolla su vida (como una pequeña ciudad en miniatura) para lo cual ha de saber desenvolverse en las relaciones. Esto implica “someter” </w:t>
      </w:r>
      <w:r w:rsidRPr="00DC3EBB">
        <w:rPr>
          <w:rFonts w:ascii="Arial" w:eastAsia="Times New Roman" w:hAnsi="Arial" w:cs="Arial"/>
          <w:color w:val="222222"/>
          <w:kern w:val="0"/>
          <w:sz w:val="24"/>
          <w:szCs w:val="24"/>
          <w:lang w:eastAsia="es-UY"/>
          <w14:ligatures w14:val="none"/>
        </w:rPr>
        <w:lastRenderedPageBreak/>
        <w:t>a los que pertenecen a su “casa”. Si uno sabe “administrar” bien su casa (</w:t>
      </w:r>
      <w:proofErr w:type="spellStart"/>
      <w:r w:rsidRPr="00DC3EBB">
        <w:rPr>
          <w:rFonts w:ascii="Arial" w:eastAsia="Times New Roman" w:hAnsi="Arial" w:cs="Arial"/>
          <w:i/>
          <w:iCs/>
          <w:color w:val="222222"/>
          <w:kern w:val="0"/>
          <w:sz w:val="24"/>
          <w:szCs w:val="24"/>
          <w:lang w:eastAsia="es-UY"/>
          <w14:ligatures w14:val="none"/>
        </w:rPr>
        <w:t>oiko-nomía</w:t>
      </w:r>
      <w:proofErr w:type="spellEnd"/>
      <w:r w:rsidRPr="00DC3EBB">
        <w:rPr>
          <w:rFonts w:ascii="Arial" w:eastAsia="Times New Roman" w:hAnsi="Arial" w:cs="Arial"/>
          <w:i/>
          <w:iCs/>
          <w:color w:val="222222"/>
          <w:kern w:val="0"/>
          <w:sz w:val="24"/>
          <w:szCs w:val="24"/>
          <w:lang w:eastAsia="es-UY"/>
          <w14:ligatures w14:val="none"/>
        </w:rPr>
        <w:t>,</w:t>
      </w:r>
      <w:r w:rsidRPr="00DC3EBB">
        <w:rPr>
          <w:rFonts w:ascii="Arial" w:eastAsia="Times New Roman" w:hAnsi="Arial" w:cs="Arial"/>
          <w:color w:val="222222"/>
          <w:kern w:val="0"/>
          <w:sz w:val="24"/>
          <w:szCs w:val="24"/>
          <w:lang w:eastAsia="es-UY"/>
          <w14:ligatures w14:val="none"/>
        </w:rPr>
        <w:t> normas de la casa) será un buen ciudadano, participará en las “asambleas” (</w:t>
      </w:r>
      <w:proofErr w:type="spellStart"/>
      <w:r w:rsidRPr="00DC3EBB">
        <w:rPr>
          <w:rFonts w:ascii="Arial" w:eastAsia="Times New Roman" w:hAnsi="Arial" w:cs="Arial"/>
          <w:i/>
          <w:iCs/>
          <w:color w:val="222222"/>
          <w:kern w:val="0"/>
          <w:sz w:val="24"/>
          <w:szCs w:val="24"/>
          <w:lang w:eastAsia="es-UY"/>
          <w14:ligatures w14:val="none"/>
        </w:rPr>
        <w:t>ekklesia</w:t>
      </w:r>
      <w:proofErr w:type="spellEnd"/>
      <w:r w:rsidRPr="00DC3EBB">
        <w:rPr>
          <w:rFonts w:ascii="Arial" w:eastAsia="Times New Roman" w:hAnsi="Arial" w:cs="Arial"/>
          <w:color w:val="222222"/>
          <w:kern w:val="0"/>
          <w:sz w:val="24"/>
          <w:szCs w:val="24"/>
          <w:lang w:eastAsia="es-UY"/>
          <w14:ligatures w14:val="none"/>
        </w:rPr>
        <w:t>) y puede aspirar a administrar la ciudad. Esto implica, obviamente: “someter” a su/s mujer/es, hijo/s y esclavo/s. De esto se tratan los “códigos domésticos”, del saber administrar. De "mostrar" a los demás que esta “casa” mantiene un buen “orden”. Estos códigos eran comunes en el ambiente:</w:t>
      </w:r>
    </w:p>
    <w:p w14:paraId="53603338" w14:textId="77777777" w:rsidR="00DC3EBB" w:rsidRPr="00DC3EBB" w:rsidRDefault="00DC3EBB" w:rsidP="00DC3EBB">
      <w:pPr>
        <w:numPr>
          <w:ilvl w:val="0"/>
          <w:numId w:val="1"/>
        </w:numPr>
        <w:shd w:val="clear" w:color="auto" w:fill="FFFFFF"/>
        <w:spacing w:after="0" w:line="240" w:lineRule="auto"/>
        <w:jc w:val="both"/>
        <w:rPr>
          <w:rFonts w:ascii="Calibri" w:eastAsia="Times New Roman" w:hAnsi="Calibri" w:cs="Calibri"/>
          <w:color w:val="222222"/>
          <w:kern w:val="0"/>
          <w:lang w:eastAsia="es-UY"/>
          <w14:ligatures w14:val="none"/>
        </w:rPr>
      </w:pPr>
      <w:r w:rsidRPr="00DC3EBB">
        <w:rPr>
          <w:rFonts w:ascii="Arial" w:eastAsia="Times New Roman" w:hAnsi="Arial" w:cs="Arial"/>
          <w:i/>
          <w:iCs/>
          <w:color w:val="222222"/>
          <w:kern w:val="0"/>
          <w:sz w:val="24"/>
          <w:szCs w:val="24"/>
          <w:lang w:eastAsia="es-UY"/>
          <w14:ligatures w14:val="none"/>
        </w:rPr>
        <w:t>“Ahora que conocemos de una manera positiva las partes diversas de que se compone el Estado, debemos ocuparnos ante todo del régimen económico de las familias, puesto que el Estado se compone siempre de familias. Los elementos de la economía doméstica son precisamente los de la familia misma, que, para ser completa, debe comprender esclavos y hombres libres. Pero como para darse razón de las cosas es preciso ante todo someter a examen las partes más sencillas de las mismas, siendo las partes primitivas y simples de la familia el señor y el esclavo, el esposo y la mujer, el padre y los hijos, deberán estudiarse separadamente estos tres órdenes de individuos para ver lo que es cada uno de ellos y lo que debe ser”. (</w:t>
      </w:r>
      <w:r w:rsidRPr="00DC3EBB">
        <w:rPr>
          <w:rFonts w:ascii="Arial" w:eastAsia="Times New Roman" w:hAnsi="Arial" w:cs="Arial"/>
          <w:color w:val="222222"/>
          <w:kern w:val="0"/>
          <w:sz w:val="24"/>
          <w:szCs w:val="24"/>
          <w:lang w:eastAsia="es-UY"/>
          <w14:ligatures w14:val="none"/>
        </w:rPr>
        <w:t>Aristóteles</w:t>
      </w:r>
      <w:r w:rsidRPr="00DC3EBB">
        <w:rPr>
          <w:rFonts w:ascii="Arial" w:eastAsia="Times New Roman" w:hAnsi="Arial" w:cs="Arial"/>
          <w:i/>
          <w:iCs/>
          <w:color w:val="222222"/>
          <w:kern w:val="0"/>
          <w:sz w:val="24"/>
          <w:szCs w:val="24"/>
          <w:lang w:eastAsia="es-UY"/>
          <w14:ligatures w14:val="none"/>
        </w:rPr>
        <w:t>, Política I, 1253b).</w:t>
      </w:r>
    </w:p>
    <w:p w14:paraId="2C99D54B"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i/>
          <w:iCs/>
          <w:color w:val="222222"/>
          <w:kern w:val="0"/>
          <w:sz w:val="24"/>
          <w:szCs w:val="24"/>
          <w:lang w:eastAsia="es-UY"/>
          <w14:ligatures w14:val="none"/>
        </w:rPr>
        <w:t> </w:t>
      </w:r>
    </w:p>
    <w:p w14:paraId="249871F1" w14:textId="77777777" w:rsidR="00DC3EBB" w:rsidRPr="00DC3EBB" w:rsidRDefault="00DC3EBB" w:rsidP="00DC3EBB">
      <w:pPr>
        <w:numPr>
          <w:ilvl w:val="0"/>
          <w:numId w:val="2"/>
        </w:numPr>
        <w:shd w:val="clear" w:color="auto" w:fill="FFFFFF"/>
        <w:spacing w:after="0" w:line="240" w:lineRule="auto"/>
        <w:jc w:val="both"/>
        <w:rPr>
          <w:rFonts w:ascii="Calibri" w:eastAsia="Times New Roman" w:hAnsi="Calibri" w:cs="Calibri"/>
          <w:color w:val="222222"/>
          <w:kern w:val="0"/>
          <w:lang w:eastAsia="es-UY"/>
          <w14:ligatures w14:val="none"/>
        </w:rPr>
      </w:pPr>
      <w:r w:rsidRPr="00DC3EBB">
        <w:rPr>
          <w:rFonts w:ascii="Arial" w:eastAsia="Times New Roman" w:hAnsi="Arial" w:cs="Arial"/>
          <w:i/>
          <w:iCs/>
          <w:color w:val="222222"/>
          <w:kern w:val="0"/>
          <w:sz w:val="24"/>
          <w:szCs w:val="24"/>
          <w:lang w:eastAsia="es-UY"/>
          <w14:ligatures w14:val="none"/>
        </w:rPr>
        <w:t>“…si lo acosas [al necio] con preguntas acerca de sus instituciones ancestrales, está en condiciones de hablar con presteza y facilidad; y se halla capacitado para instruir acerca de las leyes el esposo a la esposa, el padre al hijo y el amo a los siervos”. (</w:t>
      </w:r>
      <w:r w:rsidRPr="00DC3EBB">
        <w:rPr>
          <w:rFonts w:ascii="Arial" w:eastAsia="Times New Roman" w:hAnsi="Arial" w:cs="Arial"/>
          <w:color w:val="222222"/>
          <w:kern w:val="0"/>
          <w:sz w:val="24"/>
          <w:szCs w:val="24"/>
          <w:lang w:eastAsia="es-UY"/>
          <w14:ligatures w14:val="none"/>
        </w:rPr>
        <w:t>Filón de Alejandría</w:t>
      </w:r>
      <w:r w:rsidRPr="00DC3EBB">
        <w:rPr>
          <w:rFonts w:ascii="Arial" w:eastAsia="Times New Roman" w:hAnsi="Arial" w:cs="Arial"/>
          <w:i/>
          <w:iCs/>
          <w:color w:val="222222"/>
          <w:kern w:val="0"/>
          <w:sz w:val="24"/>
          <w:szCs w:val="24"/>
          <w:lang w:eastAsia="es-UY"/>
          <w14:ligatures w14:val="none"/>
        </w:rPr>
        <w:t>, Apología de los judíos 7.14)</w:t>
      </w:r>
    </w:p>
    <w:p w14:paraId="07580046"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i/>
          <w:iCs/>
          <w:color w:val="222222"/>
          <w:kern w:val="0"/>
          <w:sz w:val="24"/>
          <w:szCs w:val="24"/>
          <w:lang w:eastAsia="es-UY"/>
          <w14:ligatures w14:val="none"/>
        </w:rPr>
        <w:t> </w:t>
      </w:r>
    </w:p>
    <w:p w14:paraId="560F291D" w14:textId="77777777" w:rsidR="00DC3EBB" w:rsidRPr="00DC3EBB" w:rsidRDefault="00DC3EBB" w:rsidP="00DC3EBB">
      <w:pPr>
        <w:numPr>
          <w:ilvl w:val="0"/>
          <w:numId w:val="3"/>
        </w:numPr>
        <w:shd w:val="clear" w:color="auto" w:fill="FFFFFF"/>
        <w:spacing w:after="0" w:line="240" w:lineRule="auto"/>
        <w:jc w:val="both"/>
        <w:rPr>
          <w:rFonts w:ascii="Calibri" w:eastAsia="Times New Roman" w:hAnsi="Calibri" w:cs="Calibri"/>
          <w:color w:val="222222"/>
          <w:kern w:val="0"/>
          <w:lang w:eastAsia="es-UY"/>
          <w14:ligatures w14:val="none"/>
        </w:rPr>
      </w:pPr>
      <w:r w:rsidRPr="00DC3EBB">
        <w:rPr>
          <w:rFonts w:ascii="Arial" w:eastAsia="Times New Roman" w:hAnsi="Arial" w:cs="Arial"/>
          <w:i/>
          <w:iCs/>
          <w:color w:val="222222"/>
          <w:kern w:val="0"/>
          <w:sz w:val="24"/>
          <w:szCs w:val="24"/>
          <w:lang w:eastAsia="es-UY"/>
          <w14:ligatures w14:val="none"/>
        </w:rPr>
        <w:t>“…si se nos pregunta qué es lo con su presencia hace al Estado bueno al máximo consiste, tanto en el niño como en la mujer, en el esclavo como en el libre y en el artesano, en el gobernante como en el gobernado, en que cada uno haga sólo lo suyo, sin mezclarse en los asuntos de los demás”. (</w:t>
      </w:r>
      <w:r w:rsidRPr="00DC3EBB">
        <w:rPr>
          <w:rFonts w:ascii="Arial" w:eastAsia="Times New Roman" w:hAnsi="Arial" w:cs="Arial"/>
          <w:color w:val="222222"/>
          <w:kern w:val="0"/>
          <w:sz w:val="24"/>
          <w:szCs w:val="24"/>
          <w:lang w:eastAsia="es-UY"/>
          <w14:ligatures w14:val="none"/>
        </w:rPr>
        <w:t>Platón</w:t>
      </w:r>
      <w:r w:rsidRPr="00DC3EBB">
        <w:rPr>
          <w:rFonts w:ascii="Arial" w:eastAsia="Times New Roman" w:hAnsi="Arial" w:cs="Arial"/>
          <w:i/>
          <w:iCs/>
          <w:color w:val="222222"/>
          <w:kern w:val="0"/>
          <w:sz w:val="24"/>
          <w:szCs w:val="24"/>
          <w:lang w:eastAsia="es-UY"/>
          <w14:ligatures w14:val="none"/>
        </w:rPr>
        <w:t>, La República IV, 433)</w:t>
      </w:r>
    </w:p>
    <w:p w14:paraId="1EA91368"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75A3666"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xml:space="preserve">El “desorden” de la “casa” atenta contra </w:t>
      </w:r>
      <w:proofErr w:type="gramStart"/>
      <w:r w:rsidRPr="00DC3EBB">
        <w:rPr>
          <w:rFonts w:ascii="Arial" w:eastAsia="Times New Roman" w:hAnsi="Arial" w:cs="Arial"/>
          <w:color w:val="222222"/>
          <w:kern w:val="0"/>
          <w:sz w:val="24"/>
          <w:szCs w:val="24"/>
          <w:lang w:eastAsia="es-UY"/>
          <w14:ligatures w14:val="none"/>
        </w:rPr>
        <w:t>la </w:t>
      </w:r>
      <w:r w:rsidRPr="00DC3EBB">
        <w:rPr>
          <w:rFonts w:ascii="Arial" w:eastAsia="Times New Roman" w:hAnsi="Arial" w:cs="Arial"/>
          <w:i/>
          <w:iCs/>
          <w:color w:val="222222"/>
          <w:kern w:val="0"/>
          <w:sz w:val="24"/>
          <w:szCs w:val="24"/>
          <w:lang w:eastAsia="es-UY"/>
          <w14:ligatures w14:val="none"/>
        </w:rPr>
        <w:t>polis</w:t>
      </w:r>
      <w:proofErr w:type="gramEnd"/>
      <w:r w:rsidRPr="00DC3EBB">
        <w:rPr>
          <w:rFonts w:ascii="Arial" w:eastAsia="Times New Roman" w:hAnsi="Arial" w:cs="Arial"/>
          <w:color w:val="222222"/>
          <w:kern w:val="0"/>
          <w:sz w:val="24"/>
          <w:szCs w:val="24"/>
          <w:lang w:eastAsia="es-UY"/>
          <w14:ligatures w14:val="none"/>
        </w:rPr>
        <w:t>, la ciudad.</w:t>
      </w:r>
    </w:p>
    <w:p w14:paraId="3AE5DB0B"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1F1115BB"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La comunidad cristiana de la segunda (y tercera) generación es vista como una “casa” y debe mantener este tipo de orden. Una lectura descontextualizada de estos textos (</w:t>
      </w:r>
      <w:proofErr w:type="spellStart"/>
      <w:r w:rsidRPr="00DC3EBB">
        <w:rPr>
          <w:rFonts w:ascii="Arial" w:eastAsia="Times New Roman" w:hAnsi="Arial" w:cs="Arial"/>
          <w:color w:val="222222"/>
          <w:kern w:val="0"/>
          <w:sz w:val="24"/>
          <w:szCs w:val="24"/>
          <w:lang w:eastAsia="es-UY"/>
          <w14:ligatures w14:val="none"/>
        </w:rPr>
        <w:t>Ef</w:t>
      </w:r>
      <w:proofErr w:type="spellEnd"/>
      <w:r w:rsidRPr="00DC3EBB">
        <w:rPr>
          <w:rFonts w:ascii="Arial" w:eastAsia="Times New Roman" w:hAnsi="Arial" w:cs="Arial"/>
          <w:color w:val="222222"/>
          <w:kern w:val="0"/>
          <w:sz w:val="24"/>
          <w:szCs w:val="24"/>
          <w:lang w:eastAsia="es-UY"/>
          <w14:ligatures w14:val="none"/>
        </w:rPr>
        <w:t xml:space="preserve"> 5,21-6,9; Col 3,18-4,1; 1 Pe 3,1-7) ha sido en buena parte responsable del lugar injusto de la mujer (¡y los esclavos!) en la historia de la Iglesia.</w:t>
      </w:r>
    </w:p>
    <w:p w14:paraId="6D7B6D83"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33253ED7"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El texto litúrgico del día se limita solamente a la primera parte, la relación entre esposos. Como otras unidades de Efesios, también este código parece influenciado por Colosenses, pero en este caso sumamente “teologizado”.</w:t>
      </w:r>
    </w:p>
    <w:p w14:paraId="36E88883" w14:textId="77777777" w:rsidR="00DC3EBB" w:rsidRPr="00DC3EBB" w:rsidRDefault="00DC3EBB" w:rsidP="00DC3EBB">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tbl>
      <w:tblPr>
        <w:tblW w:w="0" w:type="auto"/>
        <w:tblInd w:w="1416" w:type="dxa"/>
        <w:shd w:val="clear" w:color="auto" w:fill="FFFFFF"/>
        <w:tblCellMar>
          <w:left w:w="0" w:type="dxa"/>
          <w:right w:w="0" w:type="dxa"/>
        </w:tblCellMar>
        <w:tblLook w:val="04A0" w:firstRow="1" w:lastRow="0" w:firstColumn="1" w:lastColumn="0" w:noHBand="0" w:noVBand="1"/>
      </w:tblPr>
      <w:tblGrid>
        <w:gridCol w:w="2752"/>
        <w:gridCol w:w="4316"/>
      </w:tblGrid>
      <w:tr w:rsidR="00DC3EBB" w:rsidRPr="00DC3EBB" w14:paraId="0C7AB98F" w14:textId="77777777" w:rsidTr="00DC3EBB">
        <w:tc>
          <w:tcPr>
            <w:tcW w:w="29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C9CB3B"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b/>
                <w:bCs/>
                <w:color w:val="222222"/>
                <w:kern w:val="0"/>
                <w:sz w:val="24"/>
                <w:szCs w:val="24"/>
                <w:lang w:eastAsia="es-UY"/>
                <w14:ligatures w14:val="none"/>
              </w:rPr>
              <w:t>    Colosenses 3</w:t>
            </w:r>
          </w:p>
        </w:tc>
        <w:tc>
          <w:tcPr>
            <w:tcW w:w="58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864E69"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b/>
                <w:bCs/>
                <w:color w:val="222222"/>
                <w:kern w:val="0"/>
                <w:sz w:val="24"/>
                <w:szCs w:val="24"/>
                <w:lang w:eastAsia="es-UY"/>
                <w14:ligatures w14:val="none"/>
              </w:rPr>
              <w:t>                                    Efesios 5</w:t>
            </w:r>
          </w:p>
        </w:tc>
      </w:tr>
      <w:tr w:rsidR="00DC3EBB" w:rsidRPr="00DC3EBB" w14:paraId="4205DF0F" w14:textId="77777777" w:rsidTr="00DC3EBB">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2D6B41" w14:textId="77777777" w:rsidR="00DC3EBB" w:rsidRPr="00DC3EBB" w:rsidRDefault="00DC3EBB" w:rsidP="00DC3EBB">
            <w:pPr>
              <w:spacing w:after="0" w:line="240" w:lineRule="auto"/>
              <w:rPr>
                <w:rFonts w:ascii="Arial" w:eastAsia="Times New Roman" w:hAnsi="Arial" w:cs="Arial"/>
                <w:color w:val="222222"/>
                <w:kern w:val="0"/>
                <w:sz w:val="24"/>
                <w:szCs w:val="24"/>
                <w:lang w:eastAsia="es-UY"/>
                <w14:ligatures w14:val="none"/>
              </w:rPr>
            </w:pP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788150"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vertAlign w:val="superscript"/>
                <w:lang w:eastAsia="es-UY"/>
                <w14:ligatures w14:val="none"/>
              </w:rPr>
              <w:t>21</w:t>
            </w:r>
            <w:r w:rsidRPr="00DC3EBB">
              <w:rPr>
                <w:rFonts w:ascii="Arial" w:eastAsia="Times New Roman" w:hAnsi="Arial" w:cs="Arial"/>
                <w:color w:val="222222"/>
                <w:kern w:val="0"/>
                <w:sz w:val="24"/>
                <w:szCs w:val="24"/>
                <w:lang w:eastAsia="es-UY"/>
                <w14:ligatures w14:val="none"/>
              </w:rPr>
              <w:t> Sean sumisos los unos a los otros en el temor de Cristo.</w:t>
            </w:r>
          </w:p>
        </w:tc>
      </w:tr>
      <w:tr w:rsidR="00DC3EBB" w:rsidRPr="00DC3EBB" w14:paraId="0A3615F3" w14:textId="77777777" w:rsidTr="00DC3EBB">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4B2C2C"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vertAlign w:val="superscript"/>
                <w:lang w:eastAsia="es-UY"/>
                <w14:ligatures w14:val="none"/>
              </w:rPr>
              <w:t>18</w:t>
            </w:r>
            <w:r w:rsidRPr="00DC3EBB">
              <w:rPr>
                <w:rFonts w:ascii="Arial" w:eastAsia="Times New Roman" w:hAnsi="Arial" w:cs="Arial"/>
                <w:color w:val="222222"/>
                <w:kern w:val="0"/>
                <w:sz w:val="24"/>
                <w:szCs w:val="24"/>
                <w:lang w:eastAsia="es-UY"/>
                <w14:ligatures w14:val="none"/>
              </w:rPr>
              <w:t xml:space="preserve"> Mujeres, sean sumisas a sus maridos, </w:t>
            </w:r>
            <w:r w:rsidRPr="00DC3EBB">
              <w:rPr>
                <w:rFonts w:ascii="Arial" w:eastAsia="Times New Roman" w:hAnsi="Arial" w:cs="Arial"/>
                <w:color w:val="222222"/>
                <w:kern w:val="0"/>
                <w:sz w:val="24"/>
                <w:szCs w:val="24"/>
                <w:lang w:eastAsia="es-UY"/>
                <w14:ligatures w14:val="none"/>
              </w:rPr>
              <w:lastRenderedPageBreak/>
              <w:t>como conviene en el Señor.</w:t>
            </w: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A7923"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vertAlign w:val="superscript"/>
                <w:lang w:eastAsia="es-UY"/>
                <w14:ligatures w14:val="none"/>
              </w:rPr>
              <w:lastRenderedPageBreak/>
              <w:t>22</w:t>
            </w:r>
            <w:r w:rsidRPr="00DC3EBB">
              <w:rPr>
                <w:rFonts w:ascii="Arial" w:eastAsia="Times New Roman" w:hAnsi="Arial" w:cs="Arial"/>
                <w:color w:val="222222"/>
                <w:kern w:val="0"/>
                <w:sz w:val="24"/>
                <w:szCs w:val="24"/>
                <w:lang w:eastAsia="es-UY"/>
                <w14:ligatures w14:val="none"/>
              </w:rPr>
              <w:t> Las mujeres a sus maridos, como al Señor,  </w:t>
            </w:r>
            <w:r w:rsidRPr="00DC3EBB">
              <w:rPr>
                <w:rFonts w:ascii="Arial" w:eastAsia="Times New Roman" w:hAnsi="Arial" w:cs="Arial"/>
                <w:color w:val="222222"/>
                <w:kern w:val="0"/>
                <w:sz w:val="24"/>
                <w:szCs w:val="24"/>
                <w:vertAlign w:val="superscript"/>
                <w:lang w:eastAsia="es-UY"/>
                <w14:ligatures w14:val="none"/>
              </w:rPr>
              <w:t>23</w:t>
            </w:r>
            <w:r w:rsidRPr="00DC3EBB">
              <w:rPr>
                <w:rFonts w:ascii="Arial" w:eastAsia="Times New Roman" w:hAnsi="Arial" w:cs="Arial"/>
                <w:color w:val="222222"/>
                <w:kern w:val="0"/>
                <w:sz w:val="24"/>
                <w:szCs w:val="24"/>
                <w:lang w:eastAsia="es-UY"/>
                <w14:ligatures w14:val="none"/>
              </w:rPr>
              <w:t xml:space="preserve"> porque el marido es cabeza de la mujer, como Cristo es Cabeza de </w:t>
            </w:r>
            <w:r w:rsidRPr="00DC3EBB">
              <w:rPr>
                <w:rFonts w:ascii="Arial" w:eastAsia="Times New Roman" w:hAnsi="Arial" w:cs="Arial"/>
                <w:color w:val="222222"/>
                <w:kern w:val="0"/>
                <w:sz w:val="24"/>
                <w:szCs w:val="24"/>
                <w:lang w:eastAsia="es-UY"/>
                <w14:ligatures w14:val="none"/>
              </w:rPr>
              <w:lastRenderedPageBreak/>
              <w:t>la Iglesia, el salvador del Cuerpo. </w:t>
            </w:r>
            <w:r w:rsidRPr="00DC3EBB">
              <w:rPr>
                <w:rFonts w:ascii="Arial" w:eastAsia="Times New Roman" w:hAnsi="Arial" w:cs="Arial"/>
                <w:color w:val="222222"/>
                <w:kern w:val="0"/>
                <w:sz w:val="24"/>
                <w:szCs w:val="24"/>
                <w:vertAlign w:val="superscript"/>
                <w:lang w:eastAsia="es-UY"/>
                <w14:ligatures w14:val="none"/>
              </w:rPr>
              <w:t>24</w:t>
            </w:r>
            <w:r w:rsidRPr="00DC3EBB">
              <w:rPr>
                <w:rFonts w:ascii="Arial" w:eastAsia="Times New Roman" w:hAnsi="Arial" w:cs="Arial"/>
                <w:color w:val="222222"/>
                <w:kern w:val="0"/>
                <w:sz w:val="24"/>
                <w:szCs w:val="24"/>
                <w:lang w:eastAsia="es-UY"/>
                <w14:ligatures w14:val="none"/>
              </w:rPr>
              <w:t> Así como la Iglesia está sumisa a Cristo, así también las mujeres deben estarlo a sus maridos en todo.</w:t>
            </w:r>
          </w:p>
        </w:tc>
      </w:tr>
      <w:tr w:rsidR="00DC3EBB" w:rsidRPr="00DC3EBB" w14:paraId="093F8616" w14:textId="77777777" w:rsidTr="00DC3EBB">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F4C3C6"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vertAlign w:val="superscript"/>
                <w:lang w:eastAsia="es-UY"/>
                <w14:ligatures w14:val="none"/>
              </w:rPr>
              <w:lastRenderedPageBreak/>
              <w:t>19</w:t>
            </w:r>
            <w:r w:rsidRPr="00DC3EBB">
              <w:rPr>
                <w:rFonts w:ascii="Arial" w:eastAsia="Times New Roman" w:hAnsi="Arial" w:cs="Arial"/>
                <w:color w:val="222222"/>
                <w:kern w:val="0"/>
                <w:sz w:val="24"/>
                <w:szCs w:val="24"/>
                <w:lang w:eastAsia="es-UY"/>
                <w14:ligatures w14:val="none"/>
              </w:rPr>
              <w:t> Maridos, amen a sus mujeres, y no sean ásperos con ellas.</w:t>
            </w: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75B1E"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vertAlign w:val="superscript"/>
                <w:lang w:eastAsia="es-UY"/>
                <w14:ligatures w14:val="none"/>
              </w:rPr>
              <w:t>25</w:t>
            </w:r>
            <w:r w:rsidRPr="00DC3EBB">
              <w:rPr>
                <w:rFonts w:ascii="Arial" w:eastAsia="Times New Roman" w:hAnsi="Arial" w:cs="Arial"/>
                <w:color w:val="222222"/>
                <w:kern w:val="0"/>
                <w:sz w:val="24"/>
                <w:szCs w:val="24"/>
                <w:lang w:eastAsia="es-UY"/>
                <w14:ligatures w14:val="none"/>
              </w:rPr>
              <w:t> Maridos, amen a sus mujeres como Cristo amó a la   Iglesia y se entregó a sí mismo por ella, </w:t>
            </w:r>
            <w:r w:rsidRPr="00DC3EBB">
              <w:rPr>
                <w:rFonts w:ascii="Arial" w:eastAsia="Times New Roman" w:hAnsi="Arial" w:cs="Arial"/>
                <w:color w:val="222222"/>
                <w:kern w:val="0"/>
                <w:sz w:val="24"/>
                <w:szCs w:val="24"/>
                <w:vertAlign w:val="superscript"/>
                <w:lang w:eastAsia="es-UY"/>
                <w14:ligatures w14:val="none"/>
              </w:rPr>
              <w:t>26</w:t>
            </w:r>
            <w:r w:rsidRPr="00DC3EBB">
              <w:rPr>
                <w:rFonts w:ascii="Arial" w:eastAsia="Times New Roman" w:hAnsi="Arial" w:cs="Arial"/>
                <w:color w:val="222222"/>
                <w:kern w:val="0"/>
                <w:sz w:val="24"/>
                <w:szCs w:val="24"/>
                <w:lang w:eastAsia="es-UY"/>
                <w14:ligatures w14:val="none"/>
              </w:rPr>
              <w:t> para santificarla, purificándola mediante el baño del agua, en virtud de la palabra, </w:t>
            </w:r>
            <w:r w:rsidRPr="00DC3EBB">
              <w:rPr>
                <w:rFonts w:ascii="Arial" w:eastAsia="Times New Roman" w:hAnsi="Arial" w:cs="Arial"/>
                <w:color w:val="222222"/>
                <w:kern w:val="0"/>
                <w:sz w:val="24"/>
                <w:szCs w:val="24"/>
                <w:vertAlign w:val="superscript"/>
                <w:lang w:eastAsia="es-UY"/>
                <w14:ligatures w14:val="none"/>
              </w:rPr>
              <w:t>27</w:t>
            </w:r>
            <w:r w:rsidRPr="00DC3EBB">
              <w:rPr>
                <w:rFonts w:ascii="Arial" w:eastAsia="Times New Roman" w:hAnsi="Arial" w:cs="Arial"/>
                <w:color w:val="222222"/>
                <w:kern w:val="0"/>
                <w:sz w:val="24"/>
                <w:szCs w:val="24"/>
                <w:lang w:eastAsia="es-UY"/>
                <w14:ligatures w14:val="none"/>
              </w:rPr>
              <w:t> y presentársela resplandeciente a sí mismo; sin que tenga mancha ni arruga ni cosa parecida, sino que sea santa e inmaculada. </w:t>
            </w:r>
            <w:r w:rsidRPr="00DC3EBB">
              <w:rPr>
                <w:rFonts w:ascii="Arial" w:eastAsia="Times New Roman" w:hAnsi="Arial" w:cs="Arial"/>
                <w:color w:val="222222"/>
                <w:kern w:val="0"/>
                <w:sz w:val="24"/>
                <w:szCs w:val="24"/>
                <w:vertAlign w:val="superscript"/>
                <w:lang w:eastAsia="es-UY"/>
                <w14:ligatures w14:val="none"/>
              </w:rPr>
              <w:t>28</w:t>
            </w:r>
            <w:r w:rsidRPr="00DC3EBB">
              <w:rPr>
                <w:rFonts w:ascii="Arial" w:eastAsia="Times New Roman" w:hAnsi="Arial" w:cs="Arial"/>
                <w:color w:val="222222"/>
                <w:kern w:val="0"/>
                <w:sz w:val="24"/>
                <w:szCs w:val="24"/>
                <w:lang w:eastAsia="es-UY"/>
                <w14:ligatures w14:val="none"/>
              </w:rPr>
              <w:t> Así deben amar los maridos a sus mujeres como a sus propios cuerpos. El que ama a su mujer se ama a sí mismo. </w:t>
            </w:r>
            <w:r w:rsidRPr="00DC3EBB">
              <w:rPr>
                <w:rFonts w:ascii="Arial" w:eastAsia="Times New Roman" w:hAnsi="Arial" w:cs="Arial"/>
                <w:color w:val="222222"/>
                <w:kern w:val="0"/>
                <w:sz w:val="24"/>
                <w:szCs w:val="24"/>
                <w:vertAlign w:val="superscript"/>
                <w:lang w:eastAsia="es-UY"/>
                <w14:ligatures w14:val="none"/>
              </w:rPr>
              <w:t>29</w:t>
            </w:r>
            <w:r w:rsidRPr="00DC3EBB">
              <w:rPr>
                <w:rFonts w:ascii="Arial" w:eastAsia="Times New Roman" w:hAnsi="Arial" w:cs="Arial"/>
                <w:color w:val="222222"/>
                <w:kern w:val="0"/>
                <w:sz w:val="24"/>
                <w:szCs w:val="24"/>
                <w:lang w:eastAsia="es-UY"/>
                <w14:ligatures w14:val="none"/>
              </w:rPr>
              <w:t> Porque nadie aborreció jamás su propia carne; antes bien, la alimenta y la cuida con cariño, lo mismo que Cristo a la Iglesia, </w:t>
            </w:r>
            <w:r w:rsidRPr="00DC3EBB">
              <w:rPr>
                <w:rFonts w:ascii="Arial" w:eastAsia="Times New Roman" w:hAnsi="Arial" w:cs="Arial"/>
                <w:color w:val="222222"/>
                <w:kern w:val="0"/>
                <w:sz w:val="24"/>
                <w:szCs w:val="24"/>
                <w:vertAlign w:val="superscript"/>
                <w:lang w:eastAsia="es-UY"/>
                <w14:ligatures w14:val="none"/>
              </w:rPr>
              <w:t>30</w:t>
            </w:r>
            <w:r w:rsidRPr="00DC3EBB">
              <w:rPr>
                <w:rFonts w:ascii="Arial" w:eastAsia="Times New Roman" w:hAnsi="Arial" w:cs="Arial"/>
                <w:color w:val="222222"/>
                <w:kern w:val="0"/>
                <w:sz w:val="24"/>
                <w:szCs w:val="24"/>
                <w:lang w:eastAsia="es-UY"/>
                <w14:ligatures w14:val="none"/>
              </w:rPr>
              <w:t> pues somos miembros de su Cuerpo. </w:t>
            </w:r>
            <w:r w:rsidRPr="00DC3EBB">
              <w:rPr>
                <w:rFonts w:ascii="Arial" w:eastAsia="Times New Roman" w:hAnsi="Arial" w:cs="Arial"/>
                <w:color w:val="222222"/>
                <w:kern w:val="0"/>
                <w:sz w:val="24"/>
                <w:szCs w:val="24"/>
                <w:vertAlign w:val="superscript"/>
                <w:lang w:eastAsia="es-UY"/>
                <w14:ligatures w14:val="none"/>
              </w:rPr>
              <w:t>31</w:t>
            </w:r>
            <w:r w:rsidRPr="00DC3EBB">
              <w:rPr>
                <w:rFonts w:ascii="Arial" w:eastAsia="Times New Roman" w:hAnsi="Arial" w:cs="Arial"/>
                <w:color w:val="222222"/>
                <w:kern w:val="0"/>
                <w:sz w:val="24"/>
                <w:szCs w:val="24"/>
                <w:lang w:eastAsia="es-UY"/>
                <w14:ligatures w14:val="none"/>
              </w:rPr>
              <w:t> Por eso dejará el hombre a su padre y a su madre y se unirá a su mujer, y los dos se harán una sola carne. </w:t>
            </w:r>
            <w:r w:rsidRPr="00DC3EBB">
              <w:rPr>
                <w:rFonts w:ascii="Arial" w:eastAsia="Times New Roman" w:hAnsi="Arial" w:cs="Arial"/>
                <w:color w:val="222222"/>
                <w:kern w:val="0"/>
                <w:sz w:val="24"/>
                <w:szCs w:val="24"/>
                <w:vertAlign w:val="superscript"/>
                <w:lang w:eastAsia="es-UY"/>
                <w14:ligatures w14:val="none"/>
              </w:rPr>
              <w:t>32</w:t>
            </w:r>
            <w:r w:rsidRPr="00DC3EBB">
              <w:rPr>
                <w:rFonts w:ascii="Arial" w:eastAsia="Times New Roman" w:hAnsi="Arial" w:cs="Arial"/>
                <w:color w:val="222222"/>
                <w:kern w:val="0"/>
                <w:sz w:val="24"/>
                <w:szCs w:val="24"/>
                <w:lang w:eastAsia="es-UY"/>
                <w14:ligatures w14:val="none"/>
              </w:rPr>
              <w:t> Gran misterio es éste, lo digo respecto a Cristo y la Iglesia.</w:t>
            </w:r>
          </w:p>
        </w:tc>
      </w:tr>
      <w:tr w:rsidR="00DC3EBB" w:rsidRPr="00DC3EBB" w14:paraId="21F7CC6A" w14:textId="77777777" w:rsidTr="00DC3EBB">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07BAF4" w14:textId="77777777" w:rsidR="00DC3EBB" w:rsidRPr="00DC3EBB" w:rsidRDefault="00DC3EBB" w:rsidP="00DC3EBB">
            <w:pPr>
              <w:spacing w:after="0" w:line="240" w:lineRule="auto"/>
              <w:rPr>
                <w:rFonts w:ascii="Arial" w:eastAsia="Times New Roman" w:hAnsi="Arial" w:cs="Arial"/>
                <w:color w:val="222222"/>
                <w:kern w:val="0"/>
                <w:sz w:val="24"/>
                <w:szCs w:val="24"/>
                <w:lang w:eastAsia="es-UY"/>
                <w14:ligatures w14:val="none"/>
              </w:rPr>
            </w:pPr>
          </w:p>
        </w:tc>
        <w:tc>
          <w:tcPr>
            <w:tcW w:w="58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9C0EFC" w14:textId="77777777" w:rsidR="00DC3EBB" w:rsidRPr="00DC3EBB" w:rsidRDefault="00DC3EBB" w:rsidP="00DC3EBB">
            <w:pPr>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vertAlign w:val="superscript"/>
                <w:lang w:eastAsia="es-UY"/>
                <w14:ligatures w14:val="none"/>
              </w:rPr>
              <w:t>33</w:t>
            </w:r>
            <w:r w:rsidRPr="00DC3EBB">
              <w:rPr>
                <w:rFonts w:ascii="Arial" w:eastAsia="Times New Roman" w:hAnsi="Arial" w:cs="Arial"/>
                <w:color w:val="222222"/>
                <w:kern w:val="0"/>
                <w:sz w:val="24"/>
                <w:szCs w:val="24"/>
                <w:lang w:eastAsia="es-UY"/>
                <w14:ligatures w14:val="none"/>
              </w:rPr>
              <w:t> En todo caso, en cuanto a ustedes, que cada uno ame a su mujer como a sí mismo; y la mujer, que respete al marido.</w:t>
            </w:r>
          </w:p>
        </w:tc>
      </w:tr>
    </w:tbl>
    <w:p w14:paraId="3A69C384"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067E83F6"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La ampliación es evidente. El amor entre Cristo y la Iglesia es la “razón teológica” de esta sumisión y amor. La parte “superior” no puede hacer lo que desee con la “inferior”, el ejemplo de Cristo le sirve de criterio normativo: un amor dispuesto a dar la vida. Si bien el texto mantiene una cierta desemejanza con Pablo, hay una diferencia marcada por la “superioridad” del varón sobre la mujer. Sin embargo, hay una serie de elementos que también limitan esta actitud y accionar de superioridad:</w:t>
      </w:r>
    </w:p>
    <w:p w14:paraId="3E992226" w14:textId="77777777" w:rsidR="00DC3EBB" w:rsidRPr="00DC3EBB" w:rsidRDefault="00DC3EBB" w:rsidP="00DC3EBB">
      <w:pPr>
        <w:shd w:val="clear" w:color="auto" w:fill="FFFFFF"/>
        <w:spacing w:after="240" w:line="240" w:lineRule="auto"/>
        <w:jc w:val="both"/>
        <w:rPr>
          <w:rFonts w:ascii="Arial" w:eastAsia="Times New Roman" w:hAnsi="Arial" w:cs="Arial"/>
          <w:color w:val="222222"/>
          <w:kern w:val="0"/>
          <w:sz w:val="24"/>
          <w:szCs w:val="24"/>
          <w:lang w:eastAsia="es-UY"/>
          <w14:ligatures w14:val="none"/>
        </w:rPr>
      </w:pPr>
    </w:p>
    <w:p w14:paraId="13BFE4F9" w14:textId="77777777" w:rsidR="00DC3EBB" w:rsidRPr="00DC3EBB" w:rsidRDefault="00DC3EBB" w:rsidP="00DC3EBB">
      <w:pPr>
        <w:numPr>
          <w:ilvl w:val="0"/>
          <w:numId w:val="4"/>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El texto no se dirige solamente a la parte “fuerte” (varón esposo, padre, amo) sino que también se dirige – y da entidad, reconocimiento – a la parte débil (esposa, hijos, esclavos). No se trata de un ejercicio de autoridad (“sometan a…”) sino de reconocimiento de una norma (no necesariamente con agrado).</w:t>
      </w:r>
    </w:p>
    <w:p w14:paraId="43BFDDC7" w14:textId="77777777" w:rsidR="00DC3EBB" w:rsidRPr="00DC3EBB" w:rsidRDefault="00DC3EBB" w:rsidP="00DC3EBB">
      <w:pPr>
        <w:numPr>
          <w:ilvl w:val="0"/>
          <w:numId w:val="4"/>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También la parte “fuerte” tiene una responsabilidad y compromiso hacia los débiles.</w:t>
      </w:r>
    </w:p>
    <w:p w14:paraId="32ABF369" w14:textId="77777777" w:rsidR="00DC3EBB" w:rsidRPr="00DC3EBB" w:rsidRDefault="00DC3EBB" w:rsidP="00DC3EBB">
      <w:pPr>
        <w:numPr>
          <w:ilvl w:val="0"/>
          <w:numId w:val="4"/>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En el Imperio romano la llegada al poder de la dinastía de los “</w:t>
      </w:r>
      <w:proofErr w:type="spellStart"/>
      <w:r w:rsidRPr="00DC3EBB">
        <w:rPr>
          <w:rFonts w:ascii="Arial" w:eastAsia="Times New Roman" w:hAnsi="Arial" w:cs="Arial"/>
          <w:color w:val="222222"/>
          <w:kern w:val="0"/>
          <w:sz w:val="24"/>
          <w:szCs w:val="24"/>
          <w:lang w:eastAsia="es-UY"/>
          <w14:ligatures w14:val="none"/>
        </w:rPr>
        <w:t>Flavios</w:t>
      </w:r>
      <w:proofErr w:type="spellEnd"/>
      <w:r w:rsidRPr="00DC3EBB">
        <w:rPr>
          <w:rFonts w:ascii="Arial" w:eastAsia="Times New Roman" w:hAnsi="Arial" w:cs="Arial"/>
          <w:color w:val="222222"/>
          <w:kern w:val="0"/>
          <w:sz w:val="24"/>
          <w:szCs w:val="24"/>
          <w:lang w:eastAsia="es-UY"/>
          <w14:ligatures w14:val="none"/>
        </w:rPr>
        <w:t>” (Vespasiano, Tito, Domiciano del 69 al 96) limita el lugar de la mujer que habían dado los “Julio-</w:t>
      </w:r>
      <w:proofErr w:type="spellStart"/>
      <w:r w:rsidRPr="00DC3EBB">
        <w:rPr>
          <w:rFonts w:ascii="Arial" w:eastAsia="Times New Roman" w:hAnsi="Arial" w:cs="Arial"/>
          <w:color w:val="222222"/>
          <w:kern w:val="0"/>
          <w:sz w:val="24"/>
          <w:szCs w:val="24"/>
          <w:lang w:eastAsia="es-UY"/>
          <w14:ligatures w14:val="none"/>
        </w:rPr>
        <w:t>Claudios</w:t>
      </w:r>
      <w:proofErr w:type="spellEnd"/>
      <w:r w:rsidRPr="00DC3EBB">
        <w:rPr>
          <w:rFonts w:ascii="Arial" w:eastAsia="Times New Roman" w:hAnsi="Arial" w:cs="Arial"/>
          <w:color w:val="222222"/>
          <w:kern w:val="0"/>
          <w:sz w:val="24"/>
          <w:szCs w:val="24"/>
          <w:lang w:eastAsia="es-UY"/>
          <w14:ligatures w14:val="none"/>
        </w:rPr>
        <w:t xml:space="preserve">” (Augusto, Tiberio, Calígula, </w:t>
      </w:r>
      <w:r w:rsidRPr="00DC3EBB">
        <w:rPr>
          <w:rFonts w:ascii="Arial" w:eastAsia="Times New Roman" w:hAnsi="Arial" w:cs="Arial"/>
          <w:color w:val="222222"/>
          <w:kern w:val="0"/>
          <w:sz w:val="24"/>
          <w:szCs w:val="24"/>
          <w:lang w:eastAsia="es-UY"/>
          <w14:ligatures w14:val="none"/>
        </w:rPr>
        <w:lastRenderedPageBreak/>
        <w:t>Claudio, Nerón, del 27 a.C. al 68 d.C.). Esto también coincide con el paso de la primera generación cristiana (30-66/70) a la segunda (70-110 aprox.).</w:t>
      </w:r>
    </w:p>
    <w:p w14:paraId="09A5CE00"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38DC9B16"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xml:space="preserve">Un elemento final: si bien es cierto que el cristianismo de la segunda generación relegó a la mujer en su lugar eclesial, esto no fue tan drástico como ocurrió más adelante en siglos posteriores. Las comunidades eclesiales eran “iglesias domésticas”, eran una “casa” y – aunque la casa relegara el lugar de la mujer, este era “el espacio de la mujer”, a diferencia del varón que era “de </w:t>
      </w:r>
      <w:proofErr w:type="gramStart"/>
      <w:r w:rsidRPr="00DC3EBB">
        <w:rPr>
          <w:rFonts w:ascii="Arial" w:eastAsia="Times New Roman" w:hAnsi="Arial" w:cs="Arial"/>
          <w:color w:val="222222"/>
          <w:kern w:val="0"/>
          <w:sz w:val="24"/>
          <w:szCs w:val="24"/>
          <w:lang w:eastAsia="es-UY"/>
          <w14:ligatures w14:val="none"/>
        </w:rPr>
        <w:t>la </w:t>
      </w:r>
      <w:r w:rsidRPr="00DC3EBB">
        <w:rPr>
          <w:rFonts w:ascii="Arial" w:eastAsia="Times New Roman" w:hAnsi="Arial" w:cs="Arial"/>
          <w:i/>
          <w:iCs/>
          <w:color w:val="222222"/>
          <w:kern w:val="0"/>
          <w:sz w:val="24"/>
          <w:szCs w:val="24"/>
          <w:lang w:eastAsia="es-UY"/>
          <w14:ligatures w14:val="none"/>
        </w:rPr>
        <w:t>polis</w:t>
      </w:r>
      <w:proofErr w:type="gramEnd"/>
      <w:r w:rsidRPr="00DC3EBB">
        <w:rPr>
          <w:rFonts w:ascii="Arial" w:eastAsia="Times New Roman" w:hAnsi="Arial" w:cs="Arial"/>
          <w:color w:val="222222"/>
          <w:kern w:val="0"/>
          <w:sz w:val="24"/>
          <w:szCs w:val="24"/>
          <w:lang w:eastAsia="es-UY"/>
          <w14:ligatures w14:val="none"/>
        </w:rPr>
        <w:t>”. Así todavía se ven mujeres ocupando roles importantes en las comunidades paulinas de esta y la siguiente generación (notar, por ejemplo, que a pesar de lo dicho en 1 Tim 2,11 en la carta se alude a “</w:t>
      </w:r>
      <w:proofErr w:type="spellStart"/>
      <w:r w:rsidRPr="00DC3EBB">
        <w:rPr>
          <w:rFonts w:ascii="Arial" w:eastAsia="Times New Roman" w:hAnsi="Arial" w:cs="Arial"/>
          <w:i/>
          <w:iCs/>
          <w:color w:val="222222"/>
          <w:kern w:val="0"/>
          <w:sz w:val="24"/>
          <w:szCs w:val="24"/>
          <w:lang w:eastAsia="es-UY"/>
          <w14:ligatures w14:val="none"/>
        </w:rPr>
        <w:t>diakonas</w:t>
      </w:r>
      <w:proofErr w:type="spellEnd"/>
      <w:r w:rsidRPr="00DC3EBB">
        <w:rPr>
          <w:rFonts w:ascii="Arial" w:eastAsia="Times New Roman" w:hAnsi="Arial" w:cs="Arial"/>
          <w:color w:val="222222"/>
          <w:kern w:val="0"/>
          <w:sz w:val="24"/>
          <w:szCs w:val="24"/>
          <w:lang w:eastAsia="es-UY"/>
          <w14:ligatures w14:val="none"/>
        </w:rPr>
        <w:t>” (3,11), “</w:t>
      </w:r>
      <w:proofErr w:type="spellStart"/>
      <w:r w:rsidRPr="00DC3EBB">
        <w:rPr>
          <w:rFonts w:ascii="Arial" w:eastAsia="Times New Roman" w:hAnsi="Arial" w:cs="Arial"/>
          <w:i/>
          <w:iCs/>
          <w:color w:val="222222"/>
          <w:kern w:val="0"/>
          <w:sz w:val="24"/>
          <w:szCs w:val="24"/>
          <w:lang w:eastAsia="es-UY"/>
          <w14:ligatures w14:val="none"/>
        </w:rPr>
        <w:t>presbíteras</w:t>
      </w:r>
      <w:proofErr w:type="spellEnd"/>
      <w:r w:rsidRPr="00DC3EBB">
        <w:rPr>
          <w:rFonts w:ascii="Arial" w:eastAsia="Times New Roman" w:hAnsi="Arial" w:cs="Arial"/>
          <w:color w:val="222222"/>
          <w:kern w:val="0"/>
          <w:sz w:val="24"/>
          <w:szCs w:val="24"/>
          <w:lang w:eastAsia="es-UY"/>
          <w14:ligatures w14:val="none"/>
        </w:rPr>
        <w:t xml:space="preserve">” (5,2; cf. </w:t>
      </w:r>
      <w:proofErr w:type="spellStart"/>
      <w:r w:rsidRPr="00DC3EBB">
        <w:rPr>
          <w:rFonts w:ascii="Arial" w:eastAsia="Times New Roman" w:hAnsi="Arial" w:cs="Arial"/>
          <w:color w:val="222222"/>
          <w:kern w:val="0"/>
          <w:sz w:val="24"/>
          <w:szCs w:val="24"/>
          <w:lang w:eastAsia="es-UY"/>
          <w14:ligatures w14:val="none"/>
        </w:rPr>
        <w:t>Tit</w:t>
      </w:r>
      <w:proofErr w:type="spellEnd"/>
      <w:r w:rsidRPr="00DC3EBB">
        <w:rPr>
          <w:rFonts w:ascii="Arial" w:eastAsia="Times New Roman" w:hAnsi="Arial" w:cs="Arial"/>
          <w:color w:val="222222"/>
          <w:kern w:val="0"/>
          <w:sz w:val="24"/>
          <w:szCs w:val="24"/>
          <w:lang w:eastAsia="es-UY"/>
          <w14:ligatures w14:val="none"/>
        </w:rPr>
        <w:t xml:space="preserve"> 2,3) y se reconoce un importante rol a las “viudas” (5,3-16). La influencia del esquema mental greco-romano seguirá influyendo más adelante y será decisivo en que ella sea “secundaria” en la Iglesia posterior (y contemporánea).</w:t>
      </w:r>
    </w:p>
    <w:p w14:paraId="0236609B"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7B24C3F7"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4C7EDAA3"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b/>
          <w:bCs/>
          <w:color w:val="222222"/>
          <w:kern w:val="0"/>
          <w:sz w:val="24"/>
          <w:szCs w:val="24"/>
          <w:lang w:eastAsia="es-UY"/>
          <w14:ligatures w14:val="none"/>
        </w:rPr>
        <w:t>Evangelio de nuestro Señor Jesucristo según san Juan</w:t>
      </w:r>
      <w:r w:rsidRPr="00DC3EBB">
        <w:rPr>
          <w:rFonts w:ascii="Arial" w:eastAsia="Times New Roman" w:hAnsi="Arial" w:cs="Arial"/>
          <w:color w:val="222222"/>
          <w:kern w:val="0"/>
          <w:sz w:val="24"/>
          <w:szCs w:val="24"/>
          <w:lang w:eastAsia="es-UY"/>
          <w14:ligatures w14:val="none"/>
        </w:rPr>
        <w:t>     6, 60-69</w:t>
      </w:r>
      <w:r w:rsidRPr="00DC3EBB">
        <w:rPr>
          <w:rFonts w:ascii="Arial" w:eastAsia="Times New Roman" w:hAnsi="Arial" w:cs="Arial"/>
          <w:color w:val="222222"/>
          <w:kern w:val="0"/>
          <w:sz w:val="24"/>
          <w:szCs w:val="24"/>
          <w:lang w:eastAsia="es-UY"/>
          <w14:ligatures w14:val="none"/>
        </w:rPr>
        <w:br/>
      </w:r>
      <w:r w:rsidRPr="00DC3EBB">
        <w:rPr>
          <w:rFonts w:ascii="Arial" w:eastAsia="Times New Roman" w:hAnsi="Arial" w:cs="Arial"/>
          <w:color w:val="222222"/>
          <w:kern w:val="0"/>
          <w:sz w:val="24"/>
          <w:szCs w:val="24"/>
          <w:lang w:eastAsia="es-UY"/>
          <w14:ligatures w14:val="none"/>
        </w:rPr>
        <w:br/>
      </w:r>
      <w:r w:rsidRPr="00DC3EBB">
        <w:rPr>
          <w:rFonts w:ascii="Arial" w:eastAsia="Times New Roman" w:hAnsi="Arial" w:cs="Arial"/>
          <w:i/>
          <w:iCs/>
          <w:color w:val="222222"/>
          <w:kern w:val="0"/>
          <w:sz w:val="24"/>
          <w:szCs w:val="24"/>
          <w:lang w:eastAsia="es-UY"/>
          <w14:ligatures w14:val="none"/>
        </w:rPr>
        <w:t>Resumen: Muchos discípulos dejan de seguir a Jesús ya que no son capaces de aceptar su novedad y quisieran otro modo de revelación. Pedro, en nombre de los Doce, en cambio, reconoce en las “palabras” de Jesús, la “vida” que él había anunciado.</w:t>
      </w:r>
    </w:p>
    <w:p w14:paraId="39966C04"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ABAB642"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El largo discurso del “Pan de vida” llega a su fin. Como hemos visto, la intervención de los asistentes había marcado los diferentes momentos (“la gente”, v.25; “los judíos”, vv. 41. 52) y ahora intervienen “los discípulos” (v.60). Como ocurre con todos en el discurso, estos no entienden a Jesús: “</w:t>
      </w:r>
      <w:r w:rsidRPr="00DC3EBB">
        <w:rPr>
          <w:rFonts w:ascii="Arial" w:eastAsia="Times New Roman" w:hAnsi="Arial" w:cs="Arial"/>
          <w:i/>
          <w:iCs/>
          <w:color w:val="222222"/>
          <w:kern w:val="0"/>
          <w:sz w:val="24"/>
          <w:szCs w:val="24"/>
          <w:lang w:eastAsia="es-UY"/>
          <w14:ligatures w14:val="none"/>
        </w:rPr>
        <w:t>es duro este lenguaje</w:t>
      </w:r>
      <w:r w:rsidRPr="00DC3EBB">
        <w:rPr>
          <w:rFonts w:ascii="Arial" w:eastAsia="Times New Roman" w:hAnsi="Arial" w:cs="Arial"/>
          <w:color w:val="222222"/>
          <w:kern w:val="0"/>
          <w:sz w:val="24"/>
          <w:szCs w:val="24"/>
          <w:lang w:eastAsia="es-UY"/>
          <w14:ligatures w14:val="none"/>
        </w:rPr>
        <w:t>”. El breve discurso conclusivo dirigido a ellos se dirige especialmente en v.67 a “</w:t>
      </w:r>
      <w:r w:rsidRPr="00DC3EBB">
        <w:rPr>
          <w:rFonts w:ascii="Arial" w:eastAsia="Times New Roman" w:hAnsi="Arial" w:cs="Arial"/>
          <w:i/>
          <w:iCs/>
          <w:color w:val="222222"/>
          <w:kern w:val="0"/>
          <w:sz w:val="24"/>
          <w:szCs w:val="24"/>
          <w:lang w:eastAsia="es-UY"/>
          <w14:ligatures w14:val="none"/>
        </w:rPr>
        <w:t>los Doce</w:t>
      </w:r>
      <w:r w:rsidRPr="00DC3EBB">
        <w:rPr>
          <w:rFonts w:ascii="Arial" w:eastAsia="Times New Roman" w:hAnsi="Arial" w:cs="Arial"/>
          <w:color w:val="222222"/>
          <w:kern w:val="0"/>
          <w:sz w:val="24"/>
          <w:szCs w:val="24"/>
          <w:lang w:eastAsia="es-UY"/>
          <w14:ligatures w14:val="none"/>
        </w:rPr>
        <w:t xml:space="preserve">” (que no ocupan un lugar importante en el Cuarto Evangelio, cf. Mt 10x; Mc 11x; </w:t>
      </w:r>
      <w:proofErr w:type="spellStart"/>
      <w:r w:rsidRPr="00DC3EBB">
        <w:rPr>
          <w:rFonts w:ascii="Arial" w:eastAsia="Times New Roman" w:hAnsi="Arial" w:cs="Arial"/>
          <w:color w:val="222222"/>
          <w:kern w:val="0"/>
          <w:sz w:val="24"/>
          <w:szCs w:val="24"/>
          <w:lang w:eastAsia="es-UY"/>
          <w14:ligatures w14:val="none"/>
        </w:rPr>
        <w:t>Lc</w:t>
      </w:r>
      <w:proofErr w:type="spellEnd"/>
      <w:r w:rsidRPr="00DC3EBB">
        <w:rPr>
          <w:rFonts w:ascii="Arial" w:eastAsia="Times New Roman" w:hAnsi="Arial" w:cs="Arial"/>
          <w:color w:val="222222"/>
          <w:kern w:val="0"/>
          <w:sz w:val="24"/>
          <w:szCs w:val="24"/>
          <w:lang w:eastAsia="es-UY"/>
          <w14:ligatures w14:val="none"/>
        </w:rPr>
        <w:t xml:space="preserve"> 8x [</w:t>
      </w:r>
      <w:proofErr w:type="spellStart"/>
      <w:r w:rsidRPr="00DC3EBB">
        <w:rPr>
          <w:rFonts w:ascii="Arial" w:eastAsia="Times New Roman" w:hAnsi="Arial" w:cs="Arial"/>
          <w:color w:val="222222"/>
          <w:kern w:val="0"/>
          <w:sz w:val="24"/>
          <w:szCs w:val="24"/>
          <w:lang w:eastAsia="es-UY"/>
          <w14:ligatures w14:val="none"/>
        </w:rPr>
        <w:t>Hch</w:t>
      </w:r>
      <w:proofErr w:type="spellEnd"/>
      <w:r w:rsidRPr="00DC3EBB">
        <w:rPr>
          <w:rFonts w:ascii="Arial" w:eastAsia="Times New Roman" w:hAnsi="Arial" w:cs="Arial"/>
          <w:color w:val="222222"/>
          <w:kern w:val="0"/>
          <w:sz w:val="24"/>
          <w:szCs w:val="24"/>
          <w:lang w:eastAsia="es-UY"/>
          <w14:ligatures w14:val="none"/>
        </w:rPr>
        <w:t xml:space="preserve"> 2x; Pablo sólo 1x], </w:t>
      </w:r>
      <w:proofErr w:type="spellStart"/>
      <w:r w:rsidRPr="00DC3EBB">
        <w:rPr>
          <w:rFonts w:ascii="Arial" w:eastAsia="Times New Roman" w:hAnsi="Arial" w:cs="Arial"/>
          <w:color w:val="222222"/>
          <w:kern w:val="0"/>
          <w:sz w:val="24"/>
          <w:szCs w:val="24"/>
          <w:lang w:eastAsia="es-UY"/>
          <w14:ligatures w14:val="none"/>
        </w:rPr>
        <w:t>Jn</w:t>
      </w:r>
      <w:proofErr w:type="spellEnd"/>
      <w:r w:rsidRPr="00DC3EBB">
        <w:rPr>
          <w:rFonts w:ascii="Arial" w:eastAsia="Times New Roman" w:hAnsi="Arial" w:cs="Arial"/>
          <w:color w:val="222222"/>
          <w:kern w:val="0"/>
          <w:sz w:val="24"/>
          <w:szCs w:val="24"/>
          <w:lang w:eastAsia="es-UY"/>
          <w14:ligatures w14:val="none"/>
        </w:rPr>
        <w:t xml:space="preserve"> 4x, 3x en esta unidad) ocupando en ésta un lugar importante Pedro. La respuesta de Jesús a lo dicho por Pedro (vv.70-71) se ha omitido en el texto litúrgico.</w:t>
      </w:r>
    </w:p>
    <w:p w14:paraId="47EEF5E4"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355C0598"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i/>
          <w:iCs/>
          <w:color w:val="222222"/>
          <w:kern w:val="0"/>
          <w:sz w:val="24"/>
          <w:szCs w:val="24"/>
          <w:lang w:eastAsia="es-UY"/>
          <w14:ligatures w14:val="none"/>
        </w:rPr>
        <w:t>Los discípulos</w:t>
      </w:r>
      <w:r w:rsidRPr="00DC3EBB">
        <w:rPr>
          <w:rFonts w:ascii="Arial" w:eastAsia="Times New Roman" w:hAnsi="Arial" w:cs="Arial"/>
          <w:color w:val="222222"/>
          <w:kern w:val="0"/>
          <w:sz w:val="24"/>
          <w:szCs w:val="24"/>
          <w:lang w:eastAsia="es-UY"/>
          <w14:ligatures w14:val="none"/>
        </w:rPr>
        <w:t>: el texto señala que “</w:t>
      </w:r>
      <w:r w:rsidRPr="00DC3EBB">
        <w:rPr>
          <w:rFonts w:ascii="Arial" w:eastAsia="Times New Roman" w:hAnsi="Arial" w:cs="Arial"/>
          <w:i/>
          <w:iCs/>
          <w:color w:val="222222"/>
          <w:kern w:val="0"/>
          <w:sz w:val="24"/>
          <w:szCs w:val="24"/>
          <w:lang w:eastAsia="es-UY"/>
          <w14:ligatures w14:val="none"/>
        </w:rPr>
        <w:t>murmuran</w:t>
      </w:r>
      <w:r w:rsidRPr="00DC3EBB">
        <w:rPr>
          <w:rFonts w:ascii="Arial" w:eastAsia="Times New Roman" w:hAnsi="Arial" w:cs="Arial"/>
          <w:color w:val="222222"/>
          <w:kern w:val="0"/>
          <w:sz w:val="24"/>
          <w:szCs w:val="24"/>
          <w:lang w:eastAsia="es-UY"/>
          <w14:ligatures w14:val="none"/>
        </w:rPr>
        <w:t>”, lo que – como se ha visto – es la actitud característica de rechazo al enviado o ministro de Dios (como Moisés y Aarón). La murmuración es por lo “</w:t>
      </w:r>
      <w:r w:rsidRPr="00DC3EBB">
        <w:rPr>
          <w:rFonts w:ascii="Arial" w:eastAsia="Times New Roman" w:hAnsi="Arial" w:cs="Arial"/>
          <w:i/>
          <w:iCs/>
          <w:color w:val="222222"/>
          <w:kern w:val="0"/>
          <w:sz w:val="24"/>
          <w:szCs w:val="24"/>
          <w:lang w:eastAsia="es-UY"/>
          <w14:ligatures w14:val="none"/>
        </w:rPr>
        <w:t>duro</w:t>
      </w:r>
      <w:r w:rsidRPr="00DC3EBB">
        <w:rPr>
          <w:rFonts w:ascii="Arial" w:eastAsia="Times New Roman" w:hAnsi="Arial" w:cs="Arial"/>
          <w:color w:val="222222"/>
          <w:kern w:val="0"/>
          <w:sz w:val="24"/>
          <w:szCs w:val="24"/>
          <w:lang w:eastAsia="es-UY"/>
          <w14:ligatures w14:val="none"/>
        </w:rPr>
        <w:t>” que es esta palabra que han “</w:t>
      </w:r>
      <w:r w:rsidRPr="00DC3EBB">
        <w:rPr>
          <w:rFonts w:ascii="Arial" w:eastAsia="Times New Roman" w:hAnsi="Arial" w:cs="Arial"/>
          <w:i/>
          <w:iCs/>
          <w:color w:val="222222"/>
          <w:kern w:val="0"/>
          <w:sz w:val="24"/>
          <w:szCs w:val="24"/>
          <w:lang w:eastAsia="es-UY"/>
          <w14:ligatures w14:val="none"/>
        </w:rPr>
        <w:t>escuchado</w:t>
      </w:r>
      <w:r w:rsidRPr="00DC3EBB">
        <w:rPr>
          <w:rFonts w:ascii="Arial" w:eastAsia="Times New Roman" w:hAnsi="Arial" w:cs="Arial"/>
          <w:color w:val="222222"/>
          <w:kern w:val="0"/>
          <w:sz w:val="24"/>
          <w:szCs w:val="24"/>
          <w:lang w:eastAsia="es-UY"/>
          <w14:ligatures w14:val="none"/>
        </w:rPr>
        <w:t xml:space="preserve">”. Por el contexto, se refiere a la comida de la carne y bebida de la sangre del hijo del hombre; aunque si se refiere – </w:t>
      </w:r>
      <w:proofErr w:type="spellStart"/>
      <w:r w:rsidRPr="00DC3EBB">
        <w:rPr>
          <w:rFonts w:ascii="Arial" w:eastAsia="Times New Roman" w:hAnsi="Arial" w:cs="Arial"/>
          <w:color w:val="222222"/>
          <w:kern w:val="0"/>
          <w:sz w:val="24"/>
          <w:szCs w:val="24"/>
          <w:lang w:eastAsia="es-UY"/>
          <w14:ligatures w14:val="none"/>
        </w:rPr>
        <w:t>como</w:t>
      </w:r>
      <w:proofErr w:type="spellEnd"/>
      <w:r w:rsidRPr="00DC3EBB">
        <w:rPr>
          <w:rFonts w:ascii="Arial" w:eastAsia="Times New Roman" w:hAnsi="Arial" w:cs="Arial"/>
          <w:color w:val="222222"/>
          <w:kern w:val="0"/>
          <w:sz w:val="24"/>
          <w:szCs w:val="24"/>
          <w:lang w:eastAsia="es-UY"/>
          <w14:ligatures w14:val="none"/>
        </w:rPr>
        <w:t xml:space="preserve"> es posible – a todo el discurso, parece aludir a un contraste entre una revelación tradicional, de aquellos que “suben” hacia Dios para escuchar su palabra a diferencia de Jesús que no precisa subir para transmitirla puesto que “ha bajado”. En este caso, sería un contraste con el esquema religioso preestablecido lo que representa la “dureza” inadmisible. Es inaceptable, </w:t>
      </w:r>
      <w:r w:rsidRPr="00DC3EBB">
        <w:rPr>
          <w:rFonts w:ascii="Arial" w:eastAsia="Times New Roman" w:hAnsi="Arial" w:cs="Arial"/>
          <w:i/>
          <w:iCs/>
          <w:color w:val="222222"/>
          <w:kern w:val="0"/>
          <w:sz w:val="24"/>
          <w:szCs w:val="24"/>
          <w:lang w:eastAsia="es-UY"/>
          <w14:ligatures w14:val="none"/>
        </w:rPr>
        <w:t>duro</w:t>
      </w:r>
      <w:r w:rsidRPr="00DC3EBB">
        <w:rPr>
          <w:rFonts w:ascii="Arial" w:eastAsia="Times New Roman" w:hAnsi="Arial" w:cs="Arial"/>
          <w:color w:val="222222"/>
          <w:kern w:val="0"/>
          <w:sz w:val="24"/>
          <w:szCs w:val="24"/>
          <w:lang w:eastAsia="es-UY"/>
          <w14:ligatures w14:val="none"/>
        </w:rPr>
        <w:t> y ofensivo (</w:t>
      </w:r>
      <w:proofErr w:type="spellStart"/>
      <w:r w:rsidRPr="00DC3EBB">
        <w:rPr>
          <w:rFonts w:ascii="Arial" w:eastAsia="Times New Roman" w:hAnsi="Arial" w:cs="Arial"/>
          <w:i/>
          <w:iCs/>
          <w:color w:val="222222"/>
          <w:kern w:val="0"/>
          <w:sz w:val="24"/>
          <w:szCs w:val="24"/>
          <w:lang w:eastAsia="es-UY"/>
          <w14:ligatures w14:val="none"/>
        </w:rPr>
        <w:t>sklêros</w:t>
      </w:r>
      <w:proofErr w:type="spellEnd"/>
      <w:r w:rsidRPr="00DC3EBB">
        <w:rPr>
          <w:rFonts w:ascii="Arial" w:eastAsia="Times New Roman" w:hAnsi="Arial" w:cs="Arial"/>
          <w:color w:val="222222"/>
          <w:kern w:val="0"/>
          <w:sz w:val="24"/>
          <w:szCs w:val="24"/>
          <w:lang w:eastAsia="es-UY"/>
          <w14:ligatures w14:val="none"/>
        </w:rPr>
        <w:t>) no se puede “</w:t>
      </w:r>
      <w:r w:rsidRPr="00DC3EBB">
        <w:rPr>
          <w:rFonts w:ascii="Arial" w:eastAsia="Times New Roman" w:hAnsi="Arial" w:cs="Arial"/>
          <w:i/>
          <w:iCs/>
          <w:color w:val="222222"/>
          <w:kern w:val="0"/>
          <w:sz w:val="24"/>
          <w:szCs w:val="24"/>
          <w:lang w:eastAsia="es-UY"/>
          <w14:ligatures w14:val="none"/>
        </w:rPr>
        <w:t>escuchar</w:t>
      </w:r>
      <w:r w:rsidRPr="00DC3EBB">
        <w:rPr>
          <w:rFonts w:ascii="Arial" w:eastAsia="Times New Roman" w:hAnsi="Arial" w:cs="Arial"/>
          <w:color w:val="222222"/>
          <w:kern w:val="0"/>
          <w:sz w:val="24"/>
          <w:szCs w:val="24"/>
          <w:lang w:eastAsia="es-UY"/>
          <w14:ligatures w14:val="none"/>
        </w:rPr>
        <w:t xml:space="preserve">”. Ellos no sólo han sido testigos de la </w:t>
      </w:r>
      <w:proofErr w:type="spellStart"/>
      <w:r w:rsidRPr="00DC3EBB">
        <w:rPr>
          <w:rFonts w:ascii="Arial" w:eastAsia="Times New Roman" w:hAnsi="Arial" w:cs="Arial"/>
          <w:color w:val="222222"/>
          <w:kern w:val="0"/>
          <w:sz w:val="24"/>
          <w:szCs w:val="24"/>
          <w:lang w:eastAsia="es-UY"/>
          <w14:ligatures w14:val="none"/>
        </w:rPr>
        <w:t>autorevelación</w:t>
      </w:r>
      <w:proofErr w:type="spellEnd"/>
      <w:r w:rsidRPr="00DC3EBB">
        <w:rPr>
          <w:rFonts w:ascii="Arial" w:eastAsia="Times New Roman" w:hAnsi="Arial" w:cs="Arial"/>
          <w:color w:val="222222"/>
          <w:kern w:val="0"/>
          <w:sz w:val="24"/>
          <w:szCs w:val="24"/>
          <w:lang w:eastAsia="es-UY"/>
          <w14:ligatures w14:val="none"/>
        </w:rPr>
        <w:t xml:space="preserve"> de Jesús, sino también de que se les ha manifestado en la barca (“</w:t>
      </w:r>
      <w:r w:rsidRPr="00DC3EBB">
        <w:rPr>
          <w:rFonts w:ascii="Arial" w:eastAsia="Times New Roman" w:hAnsi="Arial" w:cs="Arial"/>
          <w:i/>
          <w:iCs/>
          <w:color w:val="222222"/>
          <w:kern w:val="0"/>
          <w:sz w:val="24"/>
          <w:szCs w:val="24"/>
          <w:lang w:eastAsia="es-UY"/>
          <w14:ligatures w14:val="none"/>
        </w:rPr>
        <w:t>yo soy</w:t>
      </w:r>
      <w:r w:rsidRPr="00DC3EBB">
        <w:rPr>
          <w:rFonts w:ascii="Arial" w:eastAsia="Times New Roman" w:hAnsi="Arial" w:cs="Arial"/>
          <w:color w:val="222222"/>
          <w:kern w:val="0"/>
          <w:sz w:val="24"/>
          <w:szCs w:val="24"/>
          <w:lang w:eastAsia="es-UY"/>
          <w14:ligatures w14:val="none"/>
        </w:rPr>
        <w:t>”, v.20). Jesús es más que la misma ley, él “ha bajado del cielo” (vv.33.38.41.42.50.51.58), ¿qué pasaría </w:t>
      </w:r>
      <w:r w:rsidRPr="00DC3EBB">
        <w:rPr>
          <w:rFonts w:ascii="Arial" w:eastAsia="Times New Roman" w:hAnsi="Arial" w:cs="Arial"/>
          <w:i/>
          <w:iCs/>
          <w:color w:val="222222"/>
          <w:kern w:val="0"/>
          <w:sz w:val="24"/>
          <w:szCs w:val="24"/>
          <w:lang w:eastAsia="es-UY"/>
          <w14:ligatures w14:val="none"/>
        </w:rPr>
        <w:t>si lo vieran subir</w:t>
      </w:r>
      <w:r w:rsidRPr="00DC3EBB">
        <w:rPr>
          <w:rFonts w:ascii="Arial" w:eastAsia="Times New Roman" w:hAnsi="Arial" w:cs="Arial"/>
          <w:color w:val="222222"/>
          <w:kern w:val="0"/>
          <w:sz w:val="24"/>
          <w:szCs w:val="24"/>
          <w:lang w:eastAsia="es-UY"/>
          <w14:ligatures w14:val="none"/>
        </w:rPr>
        <w:t>?: ¿acaso creerían?, ¿podrían “</w:t>
      </w:r>
      <w:r w:rsidRPr="00DC3EBB">
        <w:rPr>
          <w:rFonts w:ascii="Arial" w:eastAsia="Times New Roman" w:hAnsi="Arial" w:cs="Arial"/>
          <w:i/>
          <w:iCs/>
          <w:color w:val="222222"/>
          <w:kern w:val="0"/>
          <w:sz w:val="24"/>
          <w:szCs w:val="24"/>
          <w:lang w:eastAsia="es-UY"/>
          <w14:ligatures w14:val="none"/>
        </w:rPr>
        <w:t>escucharlo</w:t>
      </w:r>
      <w:r w:rsidRPr="00DC3EBB">
        <w:rPr>
          <w:rFonts w:ascii="Arial" w:eastAsia="Times New Roman" w:hAnsi="Arial" w:cs="Arial"/>
          <w:color w:val="222222"/>
          <w:kern w:val="0"/>
          <w:sz w:val="24"/>
          <w:szCs w:val="24"/>
          <w:lang w:eastAsia="es-UY"/>
          <w14:ligatures w14:val="none"/>
        </w:rPr>
        <w:t>”? ¿Alude a Moisés que “</w:t>
      </w:r>
      <w:r w:rsidRPr="00DC3EBB">
        <w:rPr>
          <w:rFonts w:ascii="Arial" w:eastAsia="Times New Roman" w:hAnsi="Arial" w:cs="Arial"/>
          <w:i/>
          <w:iCs/>
          <w:color w:val="222222"/>
          <w:kern w:val="0"/>
          <w:sz w:val="24"/>
          <w:szCs w:val="24"/>
          <w:lang w:eastAsia="es-UY"/>
          <w14:ligatures w14:val="none"/>
        </w:rPr>
        <w:t>subió</w:t>
      </w:r>
      <w:r w:rsidRPr="00DC3EBB">
        <w:rPr>
          <w:rFonts w:ascii="Arial" w:eastAsia="Times New Roman" w:hAnsi="Arial" w:cs="Arial"/>
          <w:color w:val="222222"/>
          <w:kern w:val="0"/>
          <w:sz w:val="24"/>
          <w:szCs w:val="24"/>
          <w:lang w:eastAsia="es-UY"/>
          <w14:ligatures w14:val="none"/>
        </w:rPr>
        <w:t xml:space="preserve">” para recibir la Torá? La oración queda inconclusa… Para manifestar “las cosas de Dios” Jesús no precisa subir al cielo (como sí lo precisan </w:t>
      </w:r>
      <w:r w:rsidRPr="00DC3EBB">
        <w:rPr>
          <w:rFonts w:ascii="Arial" w:eastAsia="Times New Roman" w:hAnsi="Arial" w:cs="Arial"/>
          <w:color w:val="222222"/>
          <w:kern w:val="0"/>
          <w:sz w:val="24"/>
          <w:szCs w:val="24"/>
          <w:lang w:eastAsia="es-UY"/>
          <w14:ligatures w14:val="none"/>
        </w:rPr>
        <w:lastRenderedPageBreak/>
        <w:t xml:space="preserve">Moisés, Abraham, </w:t>
      </w:r>
      <w:proofErr w:type="spellStart"/>
      <w:r w:rsidRPr="00DC3EBB">
        <w:rPr>
          <w:rFonts w:ascii="Arial" w:eastAsia="Times New Roman" w:hAnsi="Arial" w:cs="Arial"/>
          <w:color w:val="222222"/>
          <w:kern w:val="0"/>
          <w:sz w:val="24"/>
          <w:szCs w:val="24"/>
          <w:lang w:eastAsia="es-UY"/>
          <w14:ligatures w14:val="none"/>
        </w:rPr>
        <w:t>Henoc</w:t>
      </w:r>
      <w:proofErr w:type="spellEnd"/>
      <w:r w:rsidRPr="00DC3EBB">
        <w:rPr>
          <w:rFonts w:ascii="Arial" w:eastAsia="Times New Roman" w:hAnsi="Arial" w:cs="Arial"/>
          <w:color w:val="222222"/>
          <w:kern w:val="0"/>
          <w:sz w:val="24"/>
          <w:szCs w:val="24"/>
          <w:lang w:eastAsia="es-UY"/>
          <w14:ligatures w14:val="none"/>
        </w:rPr>
        <w:t>…). Las palabras de estos “reveladores” son “</w:t>
      </w:r>
      <w:r w:rsidRPr="00DC3EBB">
        <w:rPr>
          <w:rFonts w:ascii="Arial" w:eastAsia="Times New Roman" w:hAnsi="Arial" w:cs="Arial"/>
          <w:i/>
          <w:iCs/>
          <w:color w:val="222222"/>
          <w:kern w:val="0"/>
          <w:sz w:val="24"/>
          <w:szCs w:val="24"/>
          <w:lang w:eastAsia="es-UY"/>
          <w14:ligatures w14:val="none"/>
        </w:rPr>
        <w:t>carnales</w:t>
      </w:r>
      <w:r w:rsidRPr="00DC3EBB">
        <w:rPr>
          <w:rFonts w:ascii="Arial" w:eastAsia="Times New Roman" w:hAnsi="Arial" w:cs="Arial"/>
          <w:color w:val="222222"/>
          <w:kern w:val="0"/>
          <w:sz w:val="24"/>
          <w:szCs w:val="24"/>
          <w:lang w:eastAsia="es-UY"/>
          <w14:ligatures w14:val="none"/>
        </w:rPr>
        <w:t>”, “materiales”. Las de Jesús – en cambio – son “</w:t>
      </w:r>
      <w:r w:rsidRPr="00DC3EBB">
        <w:rPr>
          <w:rFonts w:ascii="Arial" w:eastAsia="Times New Roman" w:hAnsi="Arial" w:cs="Arial"/>
          <w:i/>
          <w:iCs/>
          <w:color w:val="222222"/>
          <w:kern w:val="0"/>
          <w:sz w:val="24"/>
          <w:szCs w:val="24"/>
          <w:lang w:eastAsia="es-UY"/>
          <w14:ligatures w14:val="none"/>
        </w:rPr>
        <w:t>espíritu</w:t>
      </w:r>
      <w:r w:rsidRPr="00DC3EBB">
        <w:rPr>
          <w:rFonts w:ascii="Arial" w:eastAsia="Times New Roman" w:hAnsi="Arial" w:cs="Arial"/>
          <w:color w:val="222222"/>
          <w:kern w:val="0"/>
          <w:sz w:val="24"/>
          <w:szCs w:val="24"/>
          <w:lang w:eastAsia="es-UY"/>
          <w14:ligatures w14:val="none"/>
        </w:rPr>
        <w:t>” y </w:t>
      </w:r>
      <w:r w:rsidRPr="00DC3EBB">
        <w:rPr>
          <w:rFonts w:ascii="Arial" w:eastAsia="Times New Roman" w:hAnsi="Arial" w:cs="Arial"/>
          <w:i/>
          <w:iCs/>
          <w:color w:val="222222"/>
          <w:kern w:val="0"/>
          <w:sz w:val="24"/>
          <w:szCs w:val="24"/>
          <w:lang w:eastAsia="es-UY"/>
          <w14:ligatures w14:val="none"/>
        </w:rPr>
        <w:t>vida</w:t>
      </w:r>
      <w:r w:rsidRPr="00DC3EBB">
        <w:rPr>
          <w:rFonts w:ascii="Arial" w:eastAsia="Times New Roman" w:hAnsi="Arial" w:cs="Arial"/>
          <w:color w:val="222222"/>
          <w:kern w:val="0"/>
          <w:sz w:val="24"/>
          <w:szCs w:val="24"/>
          <w:lang w:eastAsia="es-UY"/>
          <w14:ligatures w14:val="none"/>
        </w:rPr>
        <w:t> (</w:t>
      </w:r>
      <w:proofErr w:type="spellStart"/>
      <w:r w:rsidRPr="00DC3EBB">
        <w:rPr>
          <w:rFonts w:ascii="Arial" w:eastAsia="Times New Roman" w:hAnsi="Arial" w:cs="Arial"/>
          <w:i/>
          <w:iCs/>
          <w:color w:val="222222"/>
          <w:kern w:val="0"/>
          <w:sz w:val="24"/>
          <w:szCs w:val="24"/>
          <w:lang w:eastAsia="es-UY"/>
          <w14:ligatures w14:val="none"/>
        </w:rPr>
        <w:t>zôê</w:t>
      </w:r>
      <w:proofErr w:type="spellEnd"/>
      <w:r w:rsidRPr="00DC3EBB">
        <w:rPr>
          <w:rFonts w:ascii="Arial" w:eastAsia="Times New Roman" w:hAnsi="Arial" w:cs="Arial"/>
          <w:i/>
          <w:iCs/>
          <w:color w:val="222222"/>
          <w:kern w:val="0"/>
          <w:sz w:val="24"/>
          <w:szCs w:val="24"/>
          <w:lang w:eastAsia="es-UY"/>
          <w14:ligatures w14:val="none"/>
        </w:rPr>
        <w:t>, </w:t>
      </w:r>
      <w:r w:rsidRPr="00DC3EBB">
        <w:rPr>
          <w:rFonts w:ascii="Arial" w:eastAsia="Times New Roman" w:hAnsi="Arial" w:cs="Arial"/>
          <w:color w:val="222222"/>
          <w:kern w:val="0"/>
          <w:sz w:val="24"/>
          <w:szCs w:val="24"/>
          <w:lang w:eastAsia="es-UY"/>
          <w14:ligatures w14:val="none"/>
        </w:rPr>
        <w:t>que en Juan refiere a la vida divina). Pero la palabra puede ser – y lo será – rechazada (1,11-13; 3,11-21.31-36). Hasta uno será </w:t>
      </w:r>
      <w:r w:rsidRPr="00DC3EBB">
        <w:rPr>
          <w:rFonts w:ascii="Arial" w:eastAsia="Times New Roman" w:hAnsi="Arial" w:cs="Arial"/>
          <w:i/>
          <w:iCs/>
          <w:color w:val="222222"/>
          <w:kern w:val="0"/>
          <w:sz w:val="24"/>
          <w:szCs w:val="24"/>
          <w:lang w:eastAsia="es-UY"/>
          <w14:ligatures w14:val="none"/>
        </w:rPr>
        <w:t>traidor</w:t>
      </w:r>
      <w:r w:rsidRPr="00DC3EBB">
        <w:rPr>
          <w:rFonts w:ascii="Arial" w:eastAsia="Times New Roman" w:hAnsi="Arial" w:cs="Arial"/>
          <w:color w:val="222222"/>
          <w:kern w:val="0"/>
          <w:sz w:val="24"/>
          <w:szCs w:val="24"/>
          <w:lang w:eastAsia="es-UY"/>
          <w14:ligatures w14:val="none"/>
        </w:rPr>
        <w:t> (v.64). Sin embargo, este “ir” hacia Jesús, la aceptación de su palabra, vida y espíritu es iniciativa divina, del Padre (v.65). </w:t>
      </w:r>
    </w:p>
    <w:p w14:paraId="264F62ED"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4E92D53F"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Se pone entonces en juego un doble modo de ser discípulo. Muchos </w:t>
      </w:r>
      <w:r w:rsidRPr="00DC3EBB">
        <w:rPr>
          <w:rFonts w:ascii="Arial" w:eastAsia="Times New Roman" w:hAnsi="Arial" w:cs="Arial"/>
          <w:i/>
          <w:iCs/>
          <w:color w:val="222222"/>
          <w:kern w:val="0"/>
          <w:sz w:val="24"/>
          <w:szCs w:val="24"/>
          <w:lang w:eastAsia="es-UY"/>
          <w14:ligatures w14:val="none"/>
        </w:rPr>
        <w:t>discípulos</w:t>
      </w:r>
      <w:r w:rsidRPr="00DC3EBB">
        <w:rPr>
          <w:rFonts w:ascii="Arial" w:eastAsia="Times New Roman" w:hAnsi="Arial" w:cs="Arial"/>
          <w:color w:val="222222"/>
          <w:kern w:val="0"/>
          <w:sz w:val="24"/>
          <w:szCs w:val="24"/>
          <w:lang w:eastAsia="es-UY"/>
          <w14:ligatures w14:val="none"/>
        </w:rPr>
        <w:t> consideran inaceptable la </w:t>
      </w:r>
      <w:r w:rsidRPr="00DC3EBB">
        <w:rPr>
          <w:rFonts w:ascii="Arial" w:eastAsia="Times New Roman" w:hAnsi="Arial" w:cs="Arial"/>
          <w:i/>
          <w:iCs/>
          <w:color w:val="222222"/>
          <w:kern w:val="0"/>
          <w:sz w:val="24"/>
          <w:szCs w:val="24"/>
          <w:lang w:eastAsia="es-UY"/>
          <w14:ligatures w14:val="none"/>
        </w:rPr>
        <w:t>palabra</w:t>
      </w: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i/>
          <w:iCs/>
          <w:color w:val="222222"/>
          <w:kern w:val="0"/>
          <w:sz w:val="24"/>
          <w:szCs w:val="24"/>
          <w:lang w:eastAsia="es-UY"/>
          <w14:ligatures w14:val="none"/>
        </w:rPr>
        <w:t>logos</w:t>
      </w:r>
      <w:r w:rsidRPr="00DC3EBB">
        <w:rPr>
          <w:rFonts w:ascii="Arial" w:eastAsia="Times New Roman" w:hAnsi="Arial" w:cs="Arial"/>
          <w:color w:val="222222"/>
          <w:kern w:val="0"/>
          <w:sz w:val="24"/>
          <w:szCs w:val="24"/>
          <w:lang w:eastAsia="es-UY"/>
          <w14:ligatures w14:val="none"/>
        </w:rPr>
        <w:t>) y la rechazan y abandonan a Jesús (v.66). El verdadero discipulado se recibe del </w:t>
      </w:r>
      <w:r w:rsidRPr="00DC3EBB">
        <w:rPr>
          <w:rFonts w:ascii="Arial" w:eastAsia="Times New Roman" w:hAnsi="Arial" w:cs="Arial"/>
          <w:i/>
          <w:iCs/>
          <w:color w:val="222222"/>
          <w:kern w:val="0"/>
          <w:sz w:val="24"/>
          <w:szCs w:val="24"/>
          <w:lang w:eastAsia="es-UY"/>
          <w14:ligatures w14:val="none"/>
        </w:rPr>
        <w:t>Padre</w:t>
      </w:r>
      <w:r w:rsidRPr="00DC3EBB">
        <w:rPr>
          <w:rFonts w:ascii="Arial" w:eastAsia="Times New Roman" w:hAnsi="Arial" w:cs="Arial"/>
          <w:color w:val="222222"/>
          <w:kern w:val="0"/>
          <w:sz w:val="24"/>
          <w:szCs w:val="24"/>
          <w:lang w:eastAsia="es-UY"/>
          <w14:ligatures w14:val="none"/>
        </w:rPr>
        <w:t> y el discípulo cree (vv.64-65). El discipulado no viene dado por “</w:t>
      </w:r>
      <w:r w:rsidRPr="00DC3EBB">
        <w:rPr>
          <w:rFonts w:ascii="Arial" w:eastAsia="Times New Roman" w:hAnsi="Arial" w:cs="Arial"/>
          <w:i/>
          <w:iCs/>
          <w:color w:val="222222"/>
          <w:kern w:val="0"/>
          <w:sz w:val="24"/>
          <w:szCs w:val="24"/>
          <w:lang w:eastAsia="es-UY"/>
          <w14:ligatures w14:val="none"/>
        </w:rPr>
        <w:t>estar</w:t>
      </w:r>
      <w:r w:rsidRPr="00DC3EBB">
        <w:rPr>
          <w:rFonts w:ascii="Arial" w:eastAsia="Times New Roman" w:hAnsi="Arial" w:cs="Arial"/>
          <w:color w:val="222222"/>
          <w:kern w:val="0"/>
          <w:sz w:val="24"/>
          <w:szCs w:val="24"/>
          <w:lang w:eastAsia="es-UY"/>
          <w14:ligatures w14:val="none"/>
        </w:rPr>
        <w:t>”, por “</w:t>
      </w:r>
      <w:r w:rsidRPr="00DC3EBB">
        <w:rPr>
          <w:rFonts w:ascii="Arial" w:eastAsia="Times New Roman" w:hAnsi="Arial" w:cs="Arial"/>
          <w:i/>
          <w:iCs/>
          <w:color w:val="222222"/>
          <w:kern w:val="0"/>
          <w:sz w:val="24"/>
          <w:szCs w:val="24"/>
          <w:lang w:eastAsia="es-UY"/>
          <w14:ligatures w14:val="none"/>
        </w:rPr>
        <w:t>escuchar</w:t>
      </w:r>
      <w:r w:rsidRPr="00DC3EBB">
        <w:rPr>
          <w:rFonts w:ascii="Arial" w:eastAsia="Times New Roman" w:hAnsi="Arial" w:cs="Arial"/>
          <w:color w:val="222222"/>
          <w:kern w:val="0"/>
          <w:sz w:val="24"/>
          <w:szCs w:val="24"/>
          <w:lang w:eastAsia="es-UY"/>
          <w14:ligatures w14:val="none"/>
        </w:rPr>
        <w:t>” sino por la respuesta dada llena de espíritu y vida divina. </w:t>
      </w:r>
      <w:r w:rsidRPr="00DC3EBB">
        <w:rPr>
          <w:rFonts w:ascii="Arial" w:eastAsia="Times New Roman" w:hAnsi="Arial" w:cs="Arial"/>
          <w:i/>
          <w:iCs/>
          <w:color w:val="222222"/>
          <w:kern w:val="0"/>
          <w:sz w:val="24"/>
          <w:szCs w:val="24"/>
          <w:lang w:eastAsia="es-UY"/>
          <w14:ligatures w14:val="none"/>
        </w:rPr>
        <w:t>Muchos</w:t>
      </w:r>
      <w:r w:rsidRPr="00DC3EBB">
        <w:rPr>
          <w:rFonts w:ascii="Arial" w:eastAsia="Times New Roman" w:hAnsi="Arial" w:cs="Arial"/>
          <w:color w:val="222222"/>
          <w:kern w:val="0"/>
          <w:sz w:val="24"/>
          <w:szCs w:val="24"/>
          <w:lang w:eastAsia="es-UY"/>
          <w14:ligatures w14:val="none"/>
        </w:rPr>
        <w:t> (</w:t>
      </w:r>
      <w:proofErr w:type="spellStart"/>
      <w:r w:rsidRPr="00DC3EBB">
        <w:rPr>
          <w:rFonts w:ascii="Arial" w:eastAsia="Times New Roman" w:hAnsi="Arial" w:cs="Arial"/>
          <w:i/>
          <w:iCs/>
          <w:color w:val="222222"/>
          <w:kern w:val="0"/>
          <w:sz w:val="24"/>
          <w:szCs w:val="24"/>
          <w:lang w:eastAsia="es-UY"/>
          <w14:ligatures w14:val="none"/>
        </w:rPr>
        <w:t>polloi</w:t>
      </w:r>
      <w:proofErr w:type="spellEnd"/>
      <w:r w:rsidRPr="00DC3EBB">
        <w:rPr>
          <w:rFonts w:ascii="Arial" w:eastAsia="Times New Roman" w:hAnsi="Arial" w:cs="Arial"/>
          <w:color w:val="222222"/>
          <w:kern w:val="0"/>
          <w:sz w:val="24"/>
          <w:szCs w:val="24"/>
          <w:lang w:eastAsia="es-UY"/>
          <w14:ligatures w14:val="none"/>
        </w:rPr>
        <w:t>) consideran inaceptable que Jesús no se conforme al modelo como Moisés, o sus propios modelos preestablecidos. Eso es ofensivo o duro y por eso ya “</w:t>
      </w:r>
      <w:r w:rsidRPr="00DC3EBB">
        <w:rPr>
          <w:rFonts w:ascii="Arial" w:eastAsia="Times New Roman" w:hAnsi="Arial" w:cs="Arial"/>
          <w:i/>
          <w:iCs/>
          <w:color w:val="222222"/>
          <w:kern w:val="0"/>
          <w:sz w:val="24"/>
          <w:szCs w:val="24"/>
          <w:lang w:eastAsia="es-UY"/>
          <w14:ligatures w14:val="none"/>
        </w:rPr>
        <w:t>no andaban con él</w:t>
      </w:r>
      <w:r w:rsidRPr="00DC3EBB">
        <w:rPr>
          <w:rFonts w:ascii="Arial" w:eastAsia="Times New Roman" w:hAnsi="Arial" w:cs="Arial"/>
          <w:color w:val="222222"/>
          <w:kern w:val="0"/>
          <w:sz w:val="24"/>
          <w:szCs w:val="24"/>
          <w:lang w:eastAsia="es-UY"/>
          <w14:ligatures w14:val="none"/>
        </w:rPr>
        <w:t>” (v.66).</w:t>
      </w:r>
    </w:p>
    <w:p w14:paraId="720B9FBC"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42FBE4EF"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i/>
          <w:iCs/>
          <w:color w:val="222222"/>
          <w:kern w:val="0"/>
          <w:sz w:val="24"/>
          <w:szCs w:val="24"/>
          <w:lang w:eastAsia="es-UY"/>
          <w14:ligatures w14:val="none"/>
        </w:rPr>
        <w:t>Los Doce</w:t>
      </w:r>
      <w:r w:rsidRPr="00DC3EBB">
        <w:rPr>
          <w:rFonts w:ascii="Arial" w:eastAsia="Times New Roman" w:hAnsi="Arial" w:cs="Arial"/>
          <w:color w:val="222222"/>
          <w:kern w:val="0"/>
          <w:sz w:val="24"/>
          <w:szCs w:val="24"/>
          <w:lang w:eastAsia="es-UY"/>
          <w14:ligatures w14:val="none"/>
        </w:rPr>
        <w:t>: Jesús, entonces se dirige a un pequeño grupo dentro de los discípulos, los “</w:t>
      </w:r>
      <w:r w:rsidRPr="00DC3EBB">
        <w:rPr>
          <w:rFonts w:ascii="Arial" w:eastAsia="Times New Roman" w:hAnsi="Arial" w:cs="Arial"/>
          <w:i/>
          <w:iCs/>
          <w:color w:val="222222"/>
          <w:kern w:val="0"/>
          <w:sz w:val="24"/>
          <w:szCs w:val="24"/>
          <w:lang w:eastAsia="es-UY"/>
          <w14:ligatures w14:val="none"/>
        </w:rPr>
        <w:t>Doce</w:t>
      </w:r>
      <w:r w:rsidRPr="00DC3EBB">
        <w:rPr>
          <w:rFonts w:ascii="Arial" w:eastAsia="Times New Roman" w:hAnsi="Arial" w:cs="Arial"/>
          <w:color w:val="222222"/>
          <w:kern w:val="0"/>
          <w:sz w:val="24"/>
          <w:szCs w:val="24"/>
          <w:lang w:eastAsia="es-UY"/>
          <w14:ligatures w14:val="none"/>
        </w:rPr>
        <w:t>”. ¿“</w:t>
      </w:r>
      <w:r w:rsidRPr="00DC3EBB">
        <w:rPr>
          <w:rFonts w:ascii="Arial" w:eastAsia="Times New Roman" w:hAnsi="Arial" w:cs="Arial"/>
          <w:i/>
          <w:iCs/>
          <w:color w:val="222222"/>
          <w:kern w:val="0"/>
          <w:sz w:val="24"/>
          <w:szCs w:val="24"/>
          <w:lang w:eastAsia="es-UY"/>
          <w14:ligatures w14:val="none"/>
        </w:rPr>
        <w:t>También ustedes</w:t>
      </w:r>
      <w:r w:rsidRPr="00DC3EBB">
        <w:rPr>
          <w:rFonts w:ascii="Arial" w:eastAsia="Times New Roman" w:hAnsi="Arial" w:cs="Arial"/>
          <w:color w:val="222222"/>
          <w:kern w:val="0"/>
          <w:sz w:val="24"/>
          <w:szCs w:val="24"/>
          <w:lang w:eastAsia="es-UY"/>
          <w14:ligatures w14:val="none"/>
        </w:rPr>
        <w:t>” quieren regresar a los modelos preestablecidos de lo conocido? Como suele ocurrir en otros textos de los Sinópticos, </w:t>
      </w:r>
      <w:r w:rsidRPr="00DC3EBB">
        <w:rPr>
          <w:rFonts w:ascii="Arial" w:eastAsia="Times New Roman" w:hAnsi="Arial" w:cs="Arial"/>
          <w:i/>
          <w:iCs/>
          <w:color w:val="222222"/>
          <w:kern w:val="0"/>
          <w:sz w:val="24"/>
          <w:szCs w:val="24"/>
          <w:lang w:eastAsia="es-UY"/>
          <w14:ligatures w14:val="none"/>
        </w:rPr>
        <w:t>Pedro</w:t>
      </w:r>
      <w:r w:rsidRPr="00DC3EBB">
        <w:rPr>
          <w:rFonts w:ascii="Arial" w:eastAsia="Times New Roman" w:hAnsi="Arial" w:cs="Arial"/>
          <w:color w:val="222222"/>
          <w:kern w:val="0"/>
          <w:sz w:val="24"/>
          <w:szCs w:val="24"/>
          <w:lang w:eastAsia="es-UY"/>
          <w14:ligatures w14:val="none"/>
        </w:rPr>
        <w:t xml:space="preserve"> habla “en nombre de” los demás (cf. Mt 15,15: 17,4; 18,21; 19,27; Mc 9,5; 10,28; </w:t>
      </w:r>
      <w:proofErr w:type="spellStart"/>
      <w:r w:rsidRPr="00DC3EBB">
        <w:rPr>
          <w:rFonts w:ascii="Arial" w:eastAsia="Times New Roman" w:hAnsi="Arial" w:cs="Arial"/>
          <w:color w:val="222222"/>
          <w:kern w:val="0"/>
          <w:sz w:val="24"/>
          <w:szCs w:val="24"/>
          <w:lang w:eastAsia="es-UY"/>
          <w14:ligatures w14:val="none"/>
        </w:rPr>
        <w:t>Lc</w:t>
      </w:r>
      <w:proofErr w:type="spellEnd"/>
      <w:r w:rsidRPr="00DC3EBB">
        <w:rPr>
          <w:rFonts w:ascii="Arial" w:eastAsia="Times New Roman" w:hAnsi="Arial" w:cs="Arial"/>
          <w:color w:val="222222"/>
          <w:kern w:val="0"/>
          <w:sz w:val="24"/>
          <w:szCs w:val="24"/>
          <w:lang w:eastAsia="es-UY"/>
          <w14:ligatures w14:val="none"/>
        </w:rPr>
        <w:t xml:space="preserve"> 8,45; 9,33; 12,41; 18,28). Pedro afirma que Jesús tiene “</w:t>
      </w:r>
      <w:r w:rsidRPr="00DC3EBB">
        <w:rPr>
          <w:rFonts w:ascii="Arial" w:eastAsia="Times New Roman" w:hAnsi="Arial" w:cs="Arial"/>
          <w:i/>
          <w:iCs/>
          <w:color w:val="222222"/>
          <w:kern w:val="0"/>
          <w:sz w:val="24"/>
          <w:szCs w:val="24"/>
          <w:lang w:eastAsia="es-UY"/>
          <w14:ligatures w14:val="none"/>
        </w:rPr>
        <w:t>palabras</w:t>
      </w:r>
      <w:r w:rsidRPr="00DC3EBB">
        <w:rPr>
          <w:rFonts w:ascii="Arial" w:eastAsia="Times New Roman" w:hAnsi="Arial" w:cs="Arial"/>
          <w:color w:val="222222"/>
          <w:kern w:val="0"/>
          <w:sz w:val="24"/>
          <w:szCs w:val="24"/>
          <w:lang w:eastAsia="es-UY"/>
          <w14:ligatures w14:val="none"/>
        </w:rPr>
        <w:t>” (</w:t>
      </w:r>
      <w:proofErr w:type="spellStart"/>
      <w:r w:rsidRPr="00DC3EBB">
        <w:rPr>
          <w:rFonts w:ascii="Arial" w:eastAsia="Times New Roman" w:hAnsi="Arial" w:cs="Arial"/>
          <w:i/>
          <w:iCs/>
          <w:color w:val="222222"/>
          <w:kern w:val="0"/>
          <w:sz w:val="24"/>
          <w:szCs w:val="24"/>
          <w:lang w:eastAsia="es-UY"/>
          <w14:ligatures w14:val="none"/>
        </w:rPr>
        <w:t>rhêmata</w:t>
      </w:r>
      <w:proofErr w:type="spellEnd"/>
      <w:r w:rsidRPr="00DC3EBB">
        <w:rPr>
          <w:rFonts w:ascii="Arial" w:eastAsia="Times New Roman" w:hAnsi="Arial" w:cs="Arial"/>
          <w:color w:val="222222"/>
          <w:kern w:val="0"/>
          <w:sz w:val="24"/>
          <w:szCs w:val="24"/>
          <w:lang w:eastAsia="es-UY"/>
          <w14:ligatures w14:val="none"/>
        </w:rPr>
        <w:t>) de “</w:t>
      </w:r>
      <w:r w:rsidRPr="00DC3EBB">
        <w:rPr>
          <w:rFonts w:ascii="Arial" w:eastAsia="Times New Roman" w:hAnsi="Arial" w:cs="Arial"/>
          <w:i/>
          <w:iCs/>
          <w:color w:val="222222"/>
          <w:kern w:val="0"/>
          <w:sz w:val="24"/>
          <w:szCs w:val="24"/>
          <w:lang w:eastAsia="es-UY"/>
          <w14:ligatures w14:val="none"/>
        </w:rPr>
        <w:t>vida eterna</w:t>
      </w:r>
      <w:r w:rsidRPr="00DC3EBB">
        <w:rPr>
          <w:rFonts w:ascii="Arial" w:eastAsia="Times New Roman" w:hAnsi="Arial" w:cs="Arial"/>
          <w:color w:val="222222"/>
          <w:kern w:val="0"/>
          <w:sz w:val="24"/>
          <w:szCs w:val="24"/>
          <w:lang w:eastAsia="es-UY"/>
          <w14:ligatures w14:val="none"/>
        </w:rPr>
        <w:t>” (v.68). El Padre los ha “</w:t>
      </w:r>
      <w:r w:rsidRPr="00DC3EBB">
        <w:rPr>
          <w:rFonts w:ascii="Arial" w:eastAsia="Times New Roman" w:hAnsi="Arial" w:cs="Arial"/>
          <w:i/>
          <w:iCs/>
          <w:color w:val="222222"/>
          <w:kern w:val="0"/>
          <w:sz w:val="24"/>
          <w:szCs w:val="24"/>
          <w:lang w:eastAsia="es-UY"/>
          <w14:ligatures w14:val="none"/>
        </w:rPr>
        <w:t>atraído</w:t>
      </w:r>
      <w:r w:rsidRPr="00DC3EBB">
        <w:rPr>
          <w:rFonts w:ascii="Arial" w:eastAsia="Times New Roman" w:hAnsi="Arial" w:cs="Arial"/>
          <w:color w:val="222222"/>
          <w:kern w:val="0"/>
          <w:sz w:val="24"/>
          <w:szCs w:val="24"/>
          <w:lang w:eastAsia="es-UY"/>
          <w14:ligatures w14:val="none"/>
        </w:rPr>
        <w:t>” hacia Jesús y ellos aceptan la palabra (como – en la unidad anterior – la Madre [2,5], el Bautista [3,29], los samaritanos [4,42], el funcionario real [4,50]): </w:t>
      </w:r>
    </w:p>
    <w:p w14:paraId="548A858E"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61328588"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i/>
          <w:iCs/>
          <w:color w:val="222222"/>
          <w:kern w:val="0"/>
          <w:sz w:val="24"/>
          <w:szCs w:val="24"/>
          <w:lang w:eastAsia="es-UY"/>
          <w14:ligatures w14:val="none"/>
        </w:rPr>
        <w:t>          Las palabras que les he dicho son espíritu y son vida [</w:t>
      </w:r>
      <w:proofErr w:type="spellStart"/>
      <w:r w:rsidRPr="00DC3EBB">
        <w:rPr>
          <w:rFonts w:ascii="Arial" w:eastAsia="Times New Roman" w:hAnsi="Arial" w:cs="Arial"/>
          <w:i/>
          <w:iCs/>
          <w:color w:val="222222"/>
          <w:kern w:val="0"/>
          <w:sz w:val="24"/>
          <w:szCs w:val="24"/>
          <w:lang w:eastAsia="es-UY"/>
          <w14:ligatures w14:val="none"/>
        </w:rPr>
        <w:t>zôê</w:t>
      </w:r>
      <w:proofErr w:type="spellEnd"/>
      <w:r w:rsidRPr="00DC3EBB">
        <w:rPr>
          <w:rFonts w:ascii="Arial" w:eastAsia="Times New Roman" w:hAnsi="Arial" w:cs="Arial"/>
          <w:i/>
          <w:iCs/>
          <w:color w:val="222222"/>
          <w:kern w:val="0"/>
          <w:sz w:val="24"/>
          <w:szCs w:val="24"/>
          <w:lang w:eastAsia="es-UY"/>
          <w14:ligatures w14:val="none"/>
        </w:rPr>
        <w:t>]. (v.63)</w:t>
      </w:r>
    </w:p>
    <w:p w14:paraId="6A39904A"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i/>
          <w:iCs/>
          <w:color w:val="222222"/>
          <w:kern w:val="0"/>
          <w:sz w:val="24"/>
          <w:szCs w:val="24"/>
          <w:lang w:eastAsia="es-UY"/>
          <w14:ligatures w14:val="none"/>
        </w:rPr>
        <w:t>          Tú tienes palabras de vida [</w:t>
      </w:r>
      <w:proofErr w:type="spellStart"/>
      <w:r w:rsidRPr="00DC3EBB">
        <w:rPr>
          <w:rFonts w:ascii="Arial" w:eastAsia="Times New Roman" w:hAnsi="Arial" w:cs="Arial"/>
          <w:i/>
          <w:iCs/>
          <w:color w:val="222222"/>
          <w:kern w:val="0"/>
          <w:sz w:val="24"/>
          <w:szCs w:val="24"/>
          <w:lang w:eastAsia="es-UY"/>
          <w14:ligatures w14:val="none"/>
        </w:rPr>
        <w:t>zôê</w:t>
      </w:r>
      <w:proofErr w:type="spellEnd"/>
      <w:r w:rsidRPr="00DC3EBB">
        <w:rPr>
          <w:rFonts w:ascii="Arial" w:eastAsia="Times New Roman" w:hAnsi="Arial" w:cs="Arial"/>
          <w:i/>
          <w:iCs/>
          <w:color w:val="222222"/>
          <w:kern w:val="0"/>
          <w:sz w:val="24"/>
          <w:szCs w:val="24"/>
          <w:lang w:eastAsia="es-UY"/>
          <w14:ligatures w14:val="none"/>
        </w:rPr>
        <w:t>] eterna, (v.68)</w:t>
      </w:r>
    </w:p>
    <w:p w14:paraId="3D615793"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A69836F"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1CE41BC8"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Pero Pedro va más allá: “</w:t>
      </w:r>
      <w:r w:rsidRPr="00DC3EBB">
        <w:rPr>
          <w:rFonts w:ascii="Arial" w:eastAsia="Times New Roman" w:hAnsi="Arial" w:cs="Arial"/>
          <w:i/>
          <w:iCs/>
          <w:color w:val="222222"/>
          <w:kern w:val="0"/>
          <w:sz w:val="24"/>
          <w:szCs w:val="24"/>
          <w:lang w:eastAsia="es-UY"/>
          <w14:ligatures w14:val="none"/>
        </w:rPr>
        <w:t>nosotros</w:t>
      </w:r>
      <w:r w:rsidRPr="00DC3EBB">
        <w:rPr>
          <w:rFonts w:ascii="Arial" w:eastAsia="Times New Roman" w:hAnsi="Arial" w:cs="Arial"/>
          <w:color w:val="222222"/>
          <w:kern w:val="0"/>
          <w:sz w:val="24"/>
          <w:szCs w:val="24"/>
          <w:lang w:eastAsia="es-UY"/>
          <w14:ligatures w14:val="none"/>
        </w:rPr>
        <w:t>” (= los Doce) “</w:t>
      </w:r>
      <w:r w:rsidRPr="00DC3EBB">
        <w:rPr>
          <w:rFonts w:ascii="Arial" w:eastAsia="Times New Roman" w:hAnsi="Arial" w:cs="Arial"/>
          <w:i/>
          <w:iCs/>
          <w:color w:val="222222"/>
          <w:kern w:val="0"/>
          <w:sz w:val="24"/>
          <w:szCs w:val="24"/>
          <w:lang w:eastAsia="es-UY"/>
          <w14:ligatures w14:val="none"/>
        </w:rPr>
        <w:t>creemos y sabemos</w:t>
      </w:r>
      <w:r w:rsidRPr="00DC3EBB">
        <w:rPr>
          <w:rFonts w:ascii="Arial" w:eastAsia="Times New Roman" w:hAnsi="Arial" w:cs="Arial"/>
          <w:color w:val="222222"/>
          <w:kern w:val="0"/>
          <w:sz w:val="24"/>
          <w:szCs w:val="24"/>
          <w:lang w:eastAsia="es-UY"/>
          <w14:ligatures w14:val="none"/>
        </w:rPr>
        <w:t>” y lo que afirma es que Jesús es “</w:t>
      </w:r>
      <w:r w:rsidRPr="00DC3EBB">
        <w:rPr>
          <w:rFonts w:ascii="Arial" w:eastAsia="Times New Roman" w:hAnsi="Arial" w:cs="Arial"/>
          <w:i/>
          <w:iCs/>
          <w:color w:val="222222"/>
          <w:kern w:val="0"/>
          <w:sz w:val="24"/>
          <w:szCs w:val="24"/>
          <w:lang w:eastAsia="es-UY"/>
          <w14:ligatures w14:val="none"/>
        </w:rPr>
        <w:t>de Dios</w:t>
      </w:r>
      <w:r w:rsidRPr="00DC3EBB">
        <w:rPr>
          <w:rFonts w:ascii="Arial" w:eastAsia="Times New Roman" w:hAnsi="Arial" w:cs="Arial"/>
          <w:color w:val="222222"/>
          <w:kern w:val="0"/>
          <w:sz w:val="24"/>
          <w:szCs w:val="24"/>
          <w:lang w:eastAsia="es-UY"/>
          <w14:ligatures w14:val="none"/>
        </w:rPr>
        <w:t>”, cosa que los lectores sabíamos, pero nadie había confesado. La santidad de Jesús tiene allí, en el Padre, su origen. Pero aún esto es pasible de duda y traición (texto omitido). Una nueva unidad del Evangelio se empieza a preparar.</w:t>
      </w:r>
    </w:p>
    <w:p w14:paraId="760A950E"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0F052C48" w14:textId="77777777" w:rsidR="00DC3EBB" w:rsidRPr="00DC3EBB" w:rsidRDefault="00DC3EBB" w:rsidP="00DC3EBB">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Una nota sobre la así llamada “</w:t>
      </w:r>
      <w:r w:rsidRPr="00DC3EBB">
        <w:rPr>
          <w:rFonts w:ascii="Arial" w:eastAsia="Times New Roman" w:hAnsi="Arial" w:cs="Arial"/>
          <w:i/>
          <w:iCs/>
          <w:color w:val="222222"/>
          <w:kern w:val="0"/>
          <w:sz w:val="24"/>
          <w:szCs w:val="24"/>
          <w:lang w:eastAsia="es-UY"/>
          <w14:ligatures w14:val="none"/>
        </w:rPr>
        <w:t>confesión de fe de Pedro</w:t>
      </w:r>
      <w:r w:rsidRPr="00DC3EBB">
        <w:rPr>
          <w:rFonts w:ascii="Arial" w:eastAsia="Times New Roman" w:hAnsi="Arial" w:cs="Arial"/>
          <w:color w:val="222222"/>
          <w:kern w:val="0"/>
          <w:sz w:val="24"/>
          <w:szCs w:val="24"/>
          <w:lang w:eastAsia="es-UY"/>
          <w14:ligatures w14:val="none"/>
        </w:rPr>
        <w:t>”. La pregunta de Jesús en los sinópticos acerca de qué dice los “hombres” acerca de Jesús viene respondida por Pedro “en nombre” de los discípulos (“</w:t>
      </w:r>
      <w:r w:rsidRPr="00DC3EBB">
        <w:rPr>
          <w:rFonts w:ascii="Arial" w:eastAsia="Times New Roman" w:hAnsi="Arial" w:cs="Arial"/>
          <w:i/>
          <w:iCs/>
          <w:color w:val="222222"/>
          <w:kern w:val="0"/>
          <w:sz w:val="24"/>
          <w:szCs w:val="24"/>
          <w:lang w:eastAsia="es-UY"/>
          <w14:ligatures w14:val="none"/>
        </w:rPr>
        <w:t>ustedes</w:t>
      </w:r>
      <w:r w:rsidRPr="00DC3EBB">
        <w:rPr>
          <w:rFonts w:ascii="Arial" w:eastAsia="Times New Roman" w:hAnsi="Arial" w:cs="Arial"/>
          <w:color w:val="222222"/>
          <w:kern w:val="0"/>
          <w:sz w:val="24"/>
          <w:szCs w:val="24"/>
          <w:lang w:eastAsia="es-UY"/>
          <w14:ligatures w14:val="none"/>
        </w:rPr>
        <w:t>”). El texto es central en Marcos que lo ubica como conclusivo de la primera de las dos partes de su Evangelio (8,29): “</w:t>
      </w:r>
      <w:r w:rsidRPr="00DC3EBB">
        <w:rPr>
          <w:rFonts w:ascii="Arial" w:eastAsia="Times New Roman" w:hAnsi="Arial" w:cs="Arial"/>
          <w:i/>
          <w:iCs/>
          <w:color w:val="222222"/>
          <w:kern w:val="0"/>
          <w:sz w:val="24"/>
          <w:szCs w:val="24"/>
          <w:lang w:eastAsia="es-UY"/>
          <w14:ligatures w14:val="none"/>
        </w:rPr>
        <w:t>tú eres el Cristo</w:t>
      </w:r>
      <w:r w:rsidRPr="00DC3EBB">
        <w:rPr>
          <w:rFonts w:ascii="Arial" w:eastAsia="Times New Roman" w:hAnsi="Arial" w:cs="Arial"/>
          <w:color w:val="222222"/>
          <w:kern w:val="0"/>
          <w:sz w:val="24"/>
          <w:szCs w:val="24"/>
          <w:lang w:eastAsia="es-UY"/>
          <w14:ligatures w14:val="none"/>
        </w:rPr>
        <w:t>”. En Mateo el texto es ampliado (16,17-20; también amplía la parte negativa: “satanás”, vv.22-23) destacando la figura de Pedro en referencia a la “Iglesia” de la que Pedro es “piedra”. En Lucas, aunque el texto no parece fundamental, no debe descuidarse que Jesús formula la pregunta luego de estar “en oración”, algo que Lucas destaca en momentos muy importantes. En los tres textos se hace referencia a Jesús como “Cristo” (</w:t>
      </w:r>
      <w:proofErr w:type="spellStart"/>
      <w:r w:rsidRPr="00DC3EBB">
        <w:rPr>
          <w:rFonts w:ascii="Arial" w:eastAsia="Times New Roman" w:hAnsi="Arial" w:cs="Arial"/>
          <w:color w:val="222222"/>
          <w:kern w:val="0"/>
          <w:sz w:val="24"/>
          <w:szCs w:val="24"/>
          <w:lang w:eastAsia="es-UY"/>
          <w14:ligatures w14:val="none"/>
        </w:rPr>
        <w:t>Lc</w:t>
      </w:r>
      <w:proofErr w:type="spellEnd"/>
      <w:r w:rsidRPr="00DC3EBB">
        <w:rPr>
          <w:rFonts w:ascii="Arial" w:eastAsia="Times New Roman" w:hAnsi="Arial" w:cs="Arial"/>
          <w:color w:val="222222"/>
          <w:kern w:val="0"/>
          <w:sz w:val="24"/>
          <w:szCs w:val="24"/>
          <w:lang w:eastAsia="es-UY"/>
          <w14:ligatures w14:val="none"/>
        </w:rPr>
        <w:t xml:space="preserve"> añade “de Dios” y Mateo “el hijo de Dios vivo”). Juan parece aludir aquí a la misma </w:t>
      </w:r>
      <w:r w:rsidRPr="00DC3EBB">
        <w:rPr>
          <w:rFonts w:ascii="Arial" w:eastAsia="Times New Roman" w:hAnsi="Arial" w:cs="Arial"/>
          <w:i/>
          <w:iCs/>
          <w:color w:val="222222"/>
          <w:kern w:val="0"/>
          <w:sz w:val="24"/>
          <w:szCs w:val="24"/>
          <w:lang w:eastAsia="es-UY"/>
          <w14:ligatures w14:val="none"/>
        </w:rPr>
        <w:t>tradición</w:t>
      </w:r>
      <w:r w:rsidRPr="00DC3EBB">
        <w:rPr>
          <w:rFonts w:ascii="Arial" w:eastAsia="Times New Roman" w:hAnsi="Arial" w:cs="Arial"/>
          <w:color w:val="222222"/>
          <w:kern w:val="0"/>
          <w:sz w:val="24"/>
          <w:szCs w:val="24"/>
          <w:lang w:eastAsia="es-UY"/>
          <w14:ligatures w14:val="none"/>
        </w:rPr>
        <w:t xml:space="preserve"> (una confesión de fe de Pedro poniendo la confianza en Jesús) con una formulación diferente referida a las “palabras”. En los Evangelios se encuentran otras confesiones de fe, aunque especialmente en Mateo y Marcos la de Pedro ocupa un lugar clave, como se dijo. No deja de ser interesante que </w:t>
      </w:r>
      <w:r w:rsidRPr="00DC3EBB">
        <w:rPr>
          <w:rFonts w:ascii="Arial" w:eastAsia="Times New Roman" w:hAnsi="Arial" w:cs="Arial"/>
          <w:color w:val="222222"/>
          <w:kern w:val="0"/>
          <w:sz w:val="24"/>
          <w:szCs w:val="24"/>
          <w:lang w:eastAsia="es-UY"/>
          <w14:ligatures w14:val="none"/>
        </w:rPr>
        <w:lastRenderedPageBreak/>
        <w:t>“</w:t>
      </w:r>
      <w:r w:rsidRPr="00DC3EBB">
        <w:rPr>
          <w:rFonts w:ascii="Arial" w:eastAsia="Times New Roman" w:hAnsi="Arial" w:cs="Arial"/>
          <w:i/>
          <w:iCs/>
          <w:color w:val="222222"/>
          <w:kern w:val="0"/>
          <w:sz w:val="24"/>
          <w:szCs w:val="24"/>
          <w:lang w:eastAsia="es-UY"/>
          <w14:ligatures w14:val="none"/>
        </w:rPr>
        <w:t>tú eres el Cristo, el Hijo de Dios</w:t>
      </w:r>
      <w:r w:rsidRPr="00DC3EBB">
        <w:rPr>
          <w:rFonts w:ascii="Arial" w:eastAsia="Times New Roman" w:hAnsi="Arial" w:cs="Arial"/>
          <w:color w:val="222222"/>
          <w:kern w:val="0"/>
          <w:sz w:val="24"/>
          <w:szCs w:val="24"/>
          <w:lang w:eastAsia="es-UY"/>
          <w14:ligatures w14:val="none"/>
        </w:rPr>
        <w:t>” es calificado de “Confesión de fe de Pedro”, pero es lo mismo que afirma Marta (</w:t>
      </w:r>
      <w:proofErr w:type="spellStart"/>
      <w:r w:rsidRPr="00DC3EBB">
        <w:rPr>
          <w:rFonts w:ascii="Arial" w:eastAsia="Times New Roman" w:hAnsi="Arial" w:cs="Arial"/>
          <w:color w:val="222222"/>
          <w:kern w:val="0"/>
          <w:sz w:val="24"/>
          <w:szCs w:val="24"/>
          <w:lang w:eastAsia="es-UY"/>
          <w14:ligatures w14:val="none"/>
        </w:rPr>
        <w:t>Jn</w:t>
      </w:r>
      <w:proofErr w:type="spellEnd"/>
      <w:r w:rsidRPr="00DC3EBB">
        <w:rPr>
          <w:rFonts w:ascii="Arial" w:eastAsia="Times New Roman" w:hAnsi="Arial" w:cs="Arial"/>
          <w:color w:val="222222"/>
          <w:kern w:val="0"/>
          <w:sz w:val="24"/>
          <w:szCs w:val="24"/>
          <w:lang w:eastAsia="es-UY"/>
          <w14:ligatures w14:val="none"/>
        </w:rPr>
        <w:t xml:space="preserve"> 11,27) sin que se suela hablar de “confesión de fe de Marta” (¿machismo?). </w:t>
      </w:r>
    </w:p>
    <w:p w14:paraId="548072BD"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EBE996B"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51109921"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shd w:val="clear" w:color="auto" w:fill="FFFF00"/>
          <w:lang w:eastAsia="es-UY"/>
          <w14:ligatures w14:val="none"/>
        </w:rPr>
        <w:t>el video con comentario al Evangelio en</w:t>
      </w:r>
    </w:p>
    <w:p w14:paraId="04CF591D"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6" w:tgtFrame="_blank" w:history="1">
        <w:r w:rsidRPr="00DC3EBB">
          <w:rPr>
            <w:rFonts w:ascii="Arial" w:eastAsia="Times New Roman" w:hAnsi="Arial" w:cs="Arial"/>
            <w:color w:val="1155CC"/>
            <w:kern w:val="0"/>
            <w:sz w:val="24"/>
            <w:szCs w:val="24"/>
            <w:u w:val="single"/>
            <w:shd w:val="clear" w:color="auto" w:fill="FFFF00"/>
            <w:lang w:eastAsia="es-UY"/>
            <w14:ligatures w14:val="none"/>
          </w:rPr>
          <w:t>https://youtu.be/1yK9Aocqt3o</w:t>
        </w:r>
      </w:hyperlink>
    </w:p>
    <w:p w14:paraId="219A6403"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shd w:val="clear" w:color="auto" w:fill="FFFF00"/>
          <w:lang w:eastAsia="es-UY"/>
          <w14:ligatures w14:val="none"/>
        </w:rPr>
        <w:t>o también en</w:t>
      </w:r>
    </w:p>
    <w:p w14:paraId="3AFB7C97"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7" w:tgtFrame="_blank" w:history="1">
        <w:r w:rsidRPr="00DC3EBB">
          <w:rPr>
            <w:rFonts w:ascii="Arial" w:eastAsia="Times New Roman" w:hAnsi="Arial" w:cs="Arial"/>
            <w:color w:val="1155CC"/>
            <w:kern w:val="0"/>
            <w:sz w:val="24"/>
            <w:szCs w:val="24"/>
            <w:u w:val="single"/>
            <w:shd w:val="clear" w:color="auto" w:fill="FFFF00"/>
            <w:lang w:eastAsia="es-UY"/>
            <w14:ligatures w14:val="none"/>
          </w:rPr>
          <w:t>https://blogeduopp1.blogspot.com/2024/08/video-con-comentario-al-evangelio-del_19.html</w:t>
        </w:r>
      </w:hyperlink>
    </w:p>
    <w:p w14:paraId="5CE77ADB" w14:textId="77777777" w:rsidR="00DC3EBB" w:rsidRPr="00DC3EBB" w:rsidRDefault="00DC3EBB" w:rsidP="00DC3EBB">
      <w:pPr>
        <w:shd w:val="clear" w:color="auto" w:fill="FFFFFF"/>
        <w:spacing w:after="0" w:line="240" w:lineRule="auto"/>
        <w:rPr>
          <w:rFonts w:ascii="Arial" w:eastAsia="Times New Roman" w:hAnsi="Arial" w:cs="Arial"/>
          <w:color w:val="222222"/>
          <w:kern w:val="0"/>
          <w:sz w:val="24"/>
          <w:szCs w:val="24"/>
          <w:lang w:eastAsia="es-UY"/>
          <w14:ligatures w14:val="none"/>
        </w:rPr>
      </w:pPr>
      <w:r w:rsidRPr="00DC3EBB">
        <w:rPr>
          <w:rFonts w:ascii="Arial" w:eastAsia="Times New Roman" w:hAnsi="Arial" w:cs="Arial"/>
          <w:color w:val="222222"/>
          <w:kern w:val="0"/>
          <w:sz w:val="24"/>
          <w:szCs w:val="24"/>
          <w:lang w:eastAsia="es-UY"/>
          <w14:ligatures w14:val="none"/>
        </w:rPr>
        <w:t> </w:t>
      </w:r>
    </w:p>
    <w:p w14:paraId="45F107E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56DB0"/>
    <w:multiLevelType w:val="multilevel"/>
    <w:tmpl w:val="A6FE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A56B0"/>
    <w:multiLevelType w:val="multilevel"/>
    <w:tmpl w:val="D24A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692558"/>
    <w:multiLevelType w:val="multilevel"/>
    <w:tmpl w:val="C6BE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585FFF"/>
    <w:multiLevelType w:val="multilevel"/>
    <w:tmpl w:val="03DA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7256890">
    <w:abstractNumId w:val="3"/>
  </w:num>
  <w:num w:numId="2" w16cid:durableId="856583061">
    <w:abstractNumId w:val="1"/>
  </w:num>
  <w:num w:numId="3" w16cid:durableId="381103557">
    <w:abstractNumId w:val="2"/>
  </w:num>
  <w:num w:numId="4" w16cid:durableId="197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BB"/>
    <w:rsid w:val="002138E3"/>
    <w:rsid w:val="00926044"/>
    <w:rsid w:val="00DC3EBB"/>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1586"/>
  <w15:chartTrackingRefBased/>
  <w15:docId w15:val="{24B69E08-BFF7-4B61-8388-3C5F90DF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3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3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3E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3E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3E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3E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3E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3E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3E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3E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3E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3E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3E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3E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3E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3E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3E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3EBB"/>
    <w:rPr>
      <w:rFonts w:eastAsiaTheme="majorEastAsia" w:cstheme="majorBidi"/>
      <w:color w:val="272727" w:themeColor="text1" w:themeTint="D8"/>
    </w:rPr>
  </w:style>
  <w:style w:type="paragraph" w:styleId="Ttulo">
    <w:name w:val="Title"/>
    <w:basedOn w:val="Normal"/>
    <w:next w:val="Normal"/>
    <w:link w:val="TtuloCar"/>
    <w:uiPriority w:val="10"/>
    <w:qFormat/>
    <w:rsid w:val="00DC3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3E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3E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3E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3EBB"/>
    <w:pPr>
      <w:spacing w:before="160"/>
      <w:jc w:val="center"/>
    </w:pPr>
    <w:rPr>
      <w:i/>
      <w:iCs/>
      <w:color w:val="404040" w:themeColor="text1" w:themeTint="BF"/>
    </w:rPr>
  </w:style>
  <w:style w:type="character" w:customStyle="1" w:styleId="CitaCar">
    <w:name w:val="Cita Car"/>
    <w:basedOn w:val="Fuentedeprrafopredeter"/>
    <w:link w:val="Cita"/>
    <w:uiPriority w:val="29"/>
    <w:rsid w:val="00DC3EBB"/>
    <w:rPr>
      <w:i/>
      <w:iCs/>
      <w:color w:val="404040" w:themeColor="text1" w:themeTint="BF"/>
    </w:rPr>
  </w:style>
  <w:style w:type="paragraph" w:styleId="Prrafodelista">
    <w:name w:val="List Paragraph"/>
    <w:basedOn w:val="Normal"/>
    <w:uiPriority w:val="34"/>
    <w:qFormat/>
    <w:rsid w:val="00DC3EBB"/>
    <w:pPr>
      <w:ind w:left="720"/>
      <w:contextualSpacing/>
    </w:pPr>
  </w:style>
  <w:style w:type="character" w:styleId="nfasisintenso">
    <w:name w:val="Intense Emphasis"/>
    <w:basedOn w:val="Fuentedeprrafopredeter"/>
    <w:uiPriority w:val="21"/>
    <w:qFormat/>
    <w:rsid w:val="00DC3EBB"/>
    <w:rPr>
      <w:i/>
      <w:iCs/>
      <w:color w:val="0F4761" w:themeColor="accent1" w:themeShade="BF"/>
    </w:rPr>
  </w:style>
  <w:style w:type="paragraph" w:styleId="Citadestacada">
    <w:name w:val="Intense Quote"/>
    <w:basedOn w:val="Normal"/>
    <w:next w:val="Normal"/>
    <w:link w:val="CitadestacadaCar"/>
    <w:uiPriority w:val="30"/>
    <w:qFormat/>
    <w:rsid w:val="00DC3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3EBB"/>
    <w:rPr>
      <w:i/>
      <w:iCs/>
      <w:color w:val="0F4761" w:themeColor="accent1" w:themeShade="BF"/>
    </w:rPr>
  </w:style>
  <w:style w:type="character" w:styleId="Referenciaintensa">
    <w:name w:val="Intense Reference"/>
    <w:basedOn w:val="Fuentedeprrafopredeter"/>
    <w:uiPriority w:val="32"/>
    <w:qFormat/>
    <w:rsid w:val="00DC3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3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gger.com/blog/post/edit/2845060600014161194/88976546244553342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post/edit/2845060600014161194/889765462445533427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2646</Words>
  <Characters>14553</Characters>
  <Application>Microsoft Office Word</Application>
  <DocSecurity>0</DocSecurity>
  <Lines>121</Lines>
  <Paragraphs>34</Paragraphs>
  <ScaleCrop>false</ScaleCrop>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2024-08-20T19:15:00Z</dcterms:created>
  <dcterms:modified xsi:type="dcterms:W3CDTF">2024-08-20T19:15:00Z</dcterms:modified>
</cp:coreProperties>
</file>