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6D21" w14:textId="77777777" w:rsidR="00B33600" w:rsidRPr="00B33600" w:rsidRDefault="00B33600" w:rsidP="00B33600">
      <w:pPr>
        <w:spacing w:after="0" w:line="240" w:lineRule="auto"/>
        <w:jc w:val="center"/>
        <w:outlineLvl w:val="0"/>
        <w:rPr>
          <w:rFonts w:ascii="Lato" w:eastAsia="Times New Roman" w:hAnsi="Lato" w:cs="Times New Roman"/>
          <w:b/>
          <w:bCs/>
          <w:color w:val="BF4E14" w:themeColor="accent2" w:themeShade="BF"/>
          <w:kern w:val="36"/>
          <w:sz w:val="40"/>
          <w:szCs w:val="40"/>
          <w:lang w:eastAsia="es-UY"/>
          <w14:ligatures w14:val="none"/>
        </w:rPr>
      </w:pPr>
      <w:r w:rsidRPr="00B33600">
        <w:rPr>
          <w:rFonts w:ascii="Lato" w:eastAsia="Times New Roman" w:hAnsi="Lato" w:cs="Times New Roman"/>
          <w:b/>
          <w:bCs/>
          <w:color w:val="BF4E14" w:themeColor="accent2" w:themeShade="BF"/>
          <w:kern w:val="36"/>
          <w:sz w:val="40"/>
          <w:szCs w:val="40"/>
          <w:lang w:eastAsia="es-UY"/>
          <w14:ligatures w14:val="none"/>
        </w:rPr>
        <w:t>Para contener el calentamiento global, el petróleo en la desembocadura del Amazonas no se puede explorar, según un estudio</w:t>
      </w:r>
    </w:p>
    <w:p w14:paraId="620BDEEC" w14:textId="77777777" w:rsidR="00926044" w:rsidRDefault="00926044" w:rsidP="00B33600">
      <w:pPr>
        <w:jc w:val="both"/>
        <w:rPr>
          <w:color w:val="BF4E14" w:themeColor="accent2" w:themeShade="BF"/>
          <w:sz w:val="40"/>
          <w:szCs w:val="40"/>
        </w:rPr>
      </w:pPr>
    </w:p>
    <w:p w14:paraId="6BE4AA0A"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Las reservas deben permanecer bajo tierra para que el calentamiento del planeta se limite a los 1,5ºC del </w:t>
      </w:r>
      <w:hyperlink r:id="rId4" w:tgtFrame="_blank" w:history="1">
        <w:r w:rsidRPr="00B33600">
          <w:rPr>
            <w:rFonts w:ascii="Georgia" w:eastAsia="Times New Roman" w:hAnsi="Georgia" w:cs="Times New Roman"/>
            <w:color w:val="FC6B01"/>
            <w:kern w:val="0"/>
            <w:sz w:val="26"/>
            <w:szCs w:val="26"/>
            <w:u w:val="single"/>
            <w:lang w:eastAsia="es-UY"/>
            <w14:ligatures w14:val="none"/>
          </w:rPr>
          <w:t>Acuerdo de París</w:t>
        </w:r>
      </w:hyperlink>
      <w:r w:rsidRPr="00B33600">
        <w:rPr>
          <w:rFonts w:ascii="Georgia" w:eastAsia="Times New Roman" w:hAnsi="Georgia" w:cs="Times New Roman"/>
          <w:color w:val="333333"/>
          <w:kern w:val="0"/>
          <w:sz w:val="26"/>
          <w:szCs w:val="26"/>
          <w:lang w:eastAsia="es-UY"/>
          <w14:ligatures w14:val="none"/>
        </w:rPr>
        <w:t> , pero el mando de </w:t>
      </w:r>
      <w:r w:rsidRPr="00B33600">
        <w:rPr>
          <w:rFonts w:ascii="Georgia" w:eastAsia="Times New Roman" w:hAnsi="Georgia" w:cs="Times New Roman"/>
          <w:b/>
          <w:bCs/>
          <w:color w:val="333333"/>
          <w:kern w:val="0"/>
          <w:sz w:val="26"/>
          <w:szCs w:val="26"/>
          <w:lang w:eastAsia="es-UY"/>
          <w14:ligatures w14:val="none"/>
        </w:rPr>
        <w:t>Petrobras</w:t>
      </w:r>
      <w:r w:rsidRPr="00B33600">
        <w:rPr>
          <w:rFonts w:ascii="Georgia" w:eastAsia="Times New Roman" w:hAnsi="Georgia" w:cs="Times New Roman"/>
          <w:color w:val="333333"/>
          <w:kern w:val="0"/>
          <w:sz w:val="26"/>
          <w:szCs w:val="26"/>
          <w:lang w:eastAsia="es-UY"/>
          <w14:ligatures w14:val="none"/>
        </w:rPr>
        <w:t> ignora el cambio climático.</w:t>
      </w:r>
    </w:p>
    <w:p w14:paraId="1D3A88F4"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3E5C2583"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El informe lo publica </w:t>
      </w:r>
      <w:proofErr w:type="spellStart"/>
      <w:r w:rsidRPr="00B33600">
        <w:rPr>
          <w:rFonts w:ascii="Georgia" w:eastAsia="Times New Roman" w:hAnsi="Georgia" w:cs="Times New Roman"/>
          <w:color w:val="333333"/>
          <w:kern w:val="0"/>
          <w:sz w:val="26"/>
          <w:szCs w:val="26"/>
          <w:lang w:eastAsia="es-UY"/>
          <w14:ligatures w14:val="none"/>
        </w:rPr>
        <w:fldChar w:fldCharType="begin"/>
      </w:r>
      <w:r w:rsidRPr="00B33600">
        <w:rPr>
          <w:rFonts w:ascii="Georgia" w:eastAsia="Times New Roman" w:hAnsi="Georgia" w:cs="Times New Roman"/>
          <w:color w:val="333333"/>
          <w:kern w:val="0"/>
          <w:sz w:val="26"/>
          <w:szCs w:val="26"/>
          <w:lang w:eastAsia="es-UY"/>
          <w14:ligatures w14:val="none"/>
        </w:rPr>
        <w:instrText>HYPERLINK "https://climainfo.org.br/" \t "_blank"</w:instrText>
      </w:r>
      <w:r w:rsidRPr="00B33600">
        <w:rPr>
          <w:rFonts w:ascii="Georgia" w:eastAsia="Times New Roman" w:hAnsi="Georgia" w:cs="Times New Roman"/>
          <w:color w:val="333333"/>
          <w:kern w:val="0"/>
          <w:sz w:val="26"/>
          <w:szCs w:val="26"/>
          <w:lang w:eastAsia="es-UY"/>
          <w14:ligatures w14:val="none"/>
        </w:rPr>
      </w:r>
      <w:r w:rsidRPr="00B33600">
        <w:rPr>
          <w:rFonts w:ascii="Georgia" w:eastAsia="Times New Roman" w:hAnsi="Georgia" w:cs="Times New Roman"/>
          <w:color w:val="333333"/>
          <w:kern w:val="0"/>
          <w:sz w:val="26"/>
          <w:szCs w:val="26"/>
          <w:lang w:eastAsia="es-UY"/>
          <w14:ligatures w14:val="none"/>
        </w:rPr>
        <w:fldChar w:fldCharType="separate"/>
      </w:r>
      <w:r w:rsidRPr="00B33600">
        <w:rPr>
          <w:rFonts w:ascii="Georgia" w:eastAsia="Times New Roman" w:hAnsi="Georgia" w:cs="Times New Roman"/>
          <w:color w:val="FC6B01"/>
          <w:kern w:val="0"/>
          <w:sz w:val="26"/>
          <w:szCs w:val="26"/>
          <w:u w:val="single"/>
          <w:lang w:eastAsia="es-UY"/>
          <w14:ligatures w14:val="none"/>
        </w:rPr>
        <w:t>ClimaInfo</w:t>
      </w:r>
      <w:proofErr w:type="spellEnd"/>
      <w:r w:rsidRPr="00B33600">
        <w:rPr>
          <w:rFonts w:ascii="Georgia" w:eastAsia="Times New Roman" w:hAnsi="Georgia" w:cs="Times New Roman"/>
          <w:color w:val="333333"/>
          <w:kern w:val="0"/>
          <w:sz w:val="26"/>
          <w:szCs w:val="26"/>
          <w:lang w:eastAsia="es-UY"/>
          <w14:ligatures w14:val="none"/>
        </w:rPr>
        <w:fldChar w:fldCharType="end"/>
      </w:r>
      <w:r w:rsidRPr="00B33600">
        <w:rPr>
          <w:rFonts w:ascii="Georgia" w:eastAsia="Times New Roman" w:hAnsi="Georgia" w:cs="Times New Roman"/>
          <w:color w:val="333333"/>
          <w:kern w:val="0"/>
          <w:sz w:val="26"/>
          <w:szCs w:val="26"/>
          <w:lang w:eastAsia="es-UY"/>
          <w14:ligatures w14:val="none"/>
        </w:rPr>
        <w:t> el 20-03-2024.</w:t>
      </w:r>
    </w:p>
    <w:p w14:paraId="70B8E68C"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7017F15F"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Cada año, el calentamiento del planeta se ha acercado peligrosamente al límite de 1,5°C por encima de las temperaturas del período preindustrial establecido en el </w:t>
      </w:r>
      <w:r w:rsidRPr="00B33600">
        <w:rPr>
          <w:rFonts w:ascii="Georgia" w:eastAsia="Times New Roman" w:hAnsi="Georgia" w:cs="Times New Roman"/>
          <w:b/>
          <w:bCs/>
          <w:color w:val="333333"/>
          <w:kern w:val="0"/>
          <w:sz w:val="26"/>
          <w:szCs w:val="26"/>
          <w:lang w:eastAsia="es-UY"/>
          <w14:ligatures w14:val="none"/>
        </w:rPr>
        <w:t>Acuerdo de París</w:t>
      </w:r>
      <w:r w:rsidRPr="00B33600">
        <w:rPr>
          <w:rFonts w:ascii="Georgia" w:eastAsia="Times New Roman" w:hAnsi="Georgia" w:cs="Times New Roman"/>
          <w:color w:val="333333"/>
          <w:kern w:val="0"/>
          <w:sz w:val="26"/>
          <w:szCs w:val="26"/>
          <w:lang w:eastAsia="es-UY"/>
          <w14:ligatures w14:val="none"/>
        </w:rPr>
        <w:t> . Como señaló el observatorio europeo </w:t>
      </w:r>
      <w:r w:rsidRPr="00B33600">
        <w:rPr>
          <w:rFonts w:ascii="Georgia" w:eastAsia="Times New Roman" w:hAnsi="Georgia" w:cs="Times New Roman"/>
          <w:b/>
          <w:bCs/>
          <w:color w:val="333333"/>
          <w:kern w:val="0"/>
          <w:sz w:val="26"/>
          <w:szCs w:val="26"/>
          <w:lang w:eastAsia="es-UY"/>
          <w14:ligatures w14:val="none"/>
        </w:rPr>
        <w:t>Copérnico</w:t>
      </w:r>
      <w:r w:rsidRPr="00B33600">
        <w:rPr>
          <w:rFonts w:ascii="Georgia" w:eastAsia="Times New Roman" w:hAnsi="Georgia" w:cs="Times New Roman"/>
          <w:color w:val="333333"/>
          <w:kern w:val="0"/>
          <w:sz w:val="26"/>
          <w:szCs w:val="26"/>
          <w:lang w:eastAsia="es-UY"/>
          <w14:ligatures w14:val="none"/>
        </w:rPr>
        <w:t> , durante cuatro días de febrero la temperatura media alcanzó </w:t>
      </w:r>
      <w:hyperlink r:id="rId5" w:tgtFrame="_blank" w:history="1">
        <w:r w:rsidRPr="00B33600">
          <w:rPr>
            <w:rFonts w:ascii="Georgia" w:eastAsia="Times New Roman" w:hAnsi="Georgia" w:cs="Times New Roman"/>
            <w:color w:val="FC6B01"/>
            <w:kern w:val="0"/>
            <w:sz w:val="26"/>
            <w:szCs w:val="26"/>
            <w:u w:val="single"/>
            <w:lang w:eastAsia="es-UY"/>
            <w14:ligatures w14:val="none"/>
          </w:rPr>
          <w:t>2°C por encima de los niveles preindustriales</w:t>
        </w:r>
      </w:hyperlink>
      <w:r w:rsidRPr="00B33600">
        <w:rPr>
          <w:rFonts w:ascii="Georgia" w:eastAsia="Times New Roman" w:hAnsi="Georgia" w:cs="Times New Roman"/>
          <w:color w:val="333333"/>
          <w:kern w:val="0"/>
          <w:sz w:val="26"/>
          <w:szCs w:val="26"/>
          <w:lang w:eastAsia="es-UY"/>
          <w14:ligatures w14:val="none"/>
        </w:rPr>
        <w:t> .</w:t>
      </w:r>
    </w:p>
    <w:p w14:paraId="1B3A23E0"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6193C118"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 xml:space="preserve">El mayor culpable de este “forúnculo” es la quema de combustibles fósiles, cuya producción sigue aumentando. Además, muchos </w:t>
      </w:r>
      <w:proofErr w:type="spellStart"/>
      <w:r w:rsidRPr="00B33600">
        <w:rPr>
          <w:rFonts w:ascii="Georgia" w:eastAsia="Times New Roman" w:hAnsi="Georgia" w:cs="Times New Roman"/>
          <w:color w:val="333333"/>
          <w:kern w:val="0"/>
          <w:sz w:val="26"/>
          <w:szCs w:val="26"/>
          <w:lang w:eastAsia="es-UY"/>
          <w14:ligatures w14:val="none"/>
        </w:rPr>
        <w:t>petroestados</w:t>
      </w:r>
      <w:proofErr w:type="spellEnd"/>
      <w:r w:rsidRPr="00B33600">
        <w:rPr>
          <w:rFonts w:ascii="Georgia" w:eastAsia="Times New Roman" w:hAnsi="Georgia" w:cs="Times New Roman"/>
          <w:color w:val="333333"/>
          <w:kern w:val="0"/>
          <w:sz w:val="26"/>
          <w:szCs w:val="26"/>
          <w:lang w:eastAsia="es-UY"/>
          <w14:ligatures w14:val="none"/>
        </w:rPr>
        <w:t xml:space="preserve"> y compañías petroleras insisten en explorar nuevas reservas de petróleo y gas fósil además de las ya descubiertas. Es el caso de </w:t>
      </w:r>
      <w:r w:rsidRPr="00B33600">
        <w:rPr>
          <w:rFonts w:ascii="Georgia" w:eastAsia="Times New Roman" w:hAnsi="Georgia" w:cs="Times New Roman"/>
          <w:b/>
          <w:bCs/>
          <w:color w:val="333333"/>
          <w:kern w:val="0"/>
          <w:sz w:val="26"/>
          <w:szCs w:val="26"/>
          <w:lang w:eastAsia="es-UY"/>
          <w14:ligatures w14:val="none"/>
        </w:rPr>
        <w:t>Petrobras</w:t>
      </w:r>
      <w:r w:rsidRPr="00B33600">
        <w:rPr>
          <w:rFonts w:ascii="Georgia" w:eastAsia="Times New Roman" w:hAnsi="Georgia" w:cs="Times New Roman"/>
          <w:color w:val="333333"/>
          <w:kern w:val="0"/>
          <w:sz w:val="26"/>
          <w:szCs w:val="26"/>
          <w:lang w:eastAsia="es-UY"/>
          <w14:ligatures w14:val="none"/>
        </w:rPr>
        <w:t> , que todavía quiere hacerlo en una región de muy alta sensibilidad ambiental como la </w:t>
      </w:r>
      <w:hyperlink r:id="rId6" w:tgtFrame="_blank" w:history="1">
        <w:r w:rsidRPr="00B33600">
          <w:rPr>
            <w:rFonts w:ascii="Georgia" w:eastAsia="Times New Roman" w:hAnsi="Georgia" w:cs="Times New Roman"/>
            <w:color w:val="FC6B01"/>
            <w:kern w:val="0"/>
            <w:sz w:val="26"/>
            <w:szCs w:val="26"/>
            <w:u w:val="single"/>
            <w:lang w:eastAsia="es-UY"/>
            <w14:ligatures w14:val="none"/>
          </w:rPr>
          <w:t>cuenca del Amazonas</w:t>
        </w:r>
      </w:hyperlink>
      <w:r w:rsidRPr="00B33600">
        <w:rPr>
          <w:rFonts w:ascii="Georgia" w:eastAsia="Times New Roman" w:hAnsi="Georgia" w:cs="Times New Roman"/>
          <w:color w:val="333333"/>
          <w:kern w:val="0"/>
          <w:sz w:val="26"/>
          <w:szCs w:val="26"/>
          <w:lang w:eastAsia="es-UY"/>
          <w14:ligatures w14:val="none"/>
        </w:rPr>
        <w:t> , donde los impactos socioambientales de la actividad petrolera son poco o nada conocidos.</w:t>
      </w:r>
    </w:p>
    <w:p w14:paraId="4750A0AA"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7C63B205"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Sin embargo, los impactos climáticos de la explotación de estos combustibles fósiles son mensurables, según muestra un  </w:t>
      </w:r>
      <w:hyperlink r:id="rId7" w:anchor=":~:text=The%20evidence%20regarding%20the%20impacts,collateral%20benefits%20of%20climate%20policies" w:tgtFrame="_blank" w:history="1">
        <w:r w:rsidRPr="00B33600">
          <w:rPr>
            <w:rFonts w:ascii="Georgia" w:eastAsia="Times New Roman" w:hAnsi="Georgia" w:cs="Times New Roman"/>
            <w:color w:val="FC6B01"/>
            <w:kern w:val="0"/>
            <w:sz w:val="26"/>
            <w:szCs w:val="26"/>
            <w:u w:val="single"/>
            <w:lang w:eastAsia="es-UY"/>
            <w14:ligatures w14:val="none"/>
          </w:rPr>
          <w:t>estudio</w:t>
        </w:r>
      </w:hyperlink>
      <w:r w:rsidRPr="00B33600">
        <w:rPr>
          <w:rFonts w:ascii="Georgia" w:eastAsia="Times New Roman" w:hAnsi="Georgia" w:cs="Times New Roman"/>
          <w:color w:val="333333"/>
          <w:kern w:val="0"/>
          <w:sz w:val="26"/>
          <w:szCs w:val="26"/>
          <w:lang w:eastAsia="es-UY"/>
          <w14:ligatures w14:val="none"/>
        </w:rPr>
        <w:t>  publicado en </w:t>
      </w:r>
      <w:proofErr w:type="spellStart"/>
      <w:r w:rsidRPr="00B33600">
        <w:rPr>
          <w:rFonts w:ascii="Georgia" w:eastAsia="Times New Roman" w:hAnsi="Georgia" w:cs="Times New Roman"/>
          <w:b/>
          <w:bCs/>
          <w:color w:val="333333"/>
          <w:kern w:val="0"/>
          <w:sz w:val="26"/>
          <w:szCs w:val="26"/>
          <w:lang w:eastAsia="es-UY"/>
          <w14:ligatures w14:val="none"/>
        </w:rPr>
        <w:t>Nature</w:t>
      </w:r>
      <w:proofErr w:type="spellEnd"/>
      <w:r w:rsidRPr="00B33600">
        <w:rPr>
          <w:rFonts w:ascii="Georgia" w:eastAsia="Times New Roman" w:hAnsi="Georgia" w:cs="Times New Roman"/>
          <w:b/>
          <w:bCs/>
          <w:color w:val="333333"/>
          <w:kern w:val="0"/>
          <w:sz w:val="26"/>
          <w:szCs w:val="26"/>
          <w:lang w:eastAsia="es-UY"/>
          <w14:ligatures w14:val="none"/>
        </w:rPr>
        <w:t xml:space="preserve"> </w:t>
      </w:r>
      <w:proofErr w:type="spellStart"/>
      <w:r w:rsidRPr="00B33600">
        <w:rPr>
          <w:rFonts w:ascii="Georgia" w:eastAsia="Times New Roman" w:hAnsi="Georgia" w:cs="Times New Roman"/>
          <w:b/>
          <w:bCs/>
          <w:color w:val="333333"/>
          <w:kern w:val="0"/>
          <w:sz w:val="26"/>
          <w:szCs w:val="26"/>
          <w:lang w:eastAsia="es-UY"/>
          <w14:ligatures w14:val="none"/>
        </w:rPr>
        <w:t>Communications</w:t>
      </w:r>
      <w:proofErr w:type="spellEnd"/>
      <w:r w:rsidRPr="00B33600">
        <w:rPr>
          <w:rFonts w:ascii="Georgia" w:eastAsia="Times New Roman" w:hAnsi="Georgia" w:cs="Times New Roman"/>
          <w:color w:val="333333"/>
          <w:kern w:val="0"/>
          <w:sz w:val="26"/>
          <w:szCs w:val="26"/>
          <w:lang w:eastAsia="es-UY"/>
          <w14:ligatures w14:val="none"/>
        </w:rPr>
        <w:t> . En él, los investigadores crearon un atlas basado en datos sobre las reservas convencionales de petróleo y gas fósil e identificaron regiones donde estas reservas deben mantenerse bajo tierra –y no quemarse– para que el planeta no supere los 1,5°C de calentamiento. Y la desembocadura del Amazonas es una de ellas, destaca  </w:t>
      </w:r>
      <w:proofErr w:type="spellStart"/>
      <w:r w:rsidRPr="00B33600">
        <w:rPr>
          <w:rFonts w:ascii="Georgia" w:eastAsia="Times New Roman" w:hAnsi="Georgia" w:cs="Times New Roman"/>
          <w:color w:val="333333"/>
          <w:kern w:val="0"/>
          <w:sz w:val="26"/>
          <w:szCs w:val="26"/>
          <w:lang w:eastAsia="es-UY"/>
          <w14:ligatures w14:val="none"/>
        </w:rPr>
        <w:fldChar w:fldCharType="begin"/>
      </w:r>
      <w:r w:rsidRPr="00B33600">
        <w:rPr>
          <w:rFonts w:ascii="Georgia" w:eastAsia="Times New Roman" w:hAnsi="Georgia" w:cs="Times New Roman"/>
          <w:color w:val="333333"/>
          <w:kern w:val="0"/>
          <w:sz w:val="26"/>
          <w:szCs w:val="26"/>
          <w:lang w:eastAsia="es-UY"/>
          <w14:ligatures w14:val="none"/>
        </w:rPr>
        <w:instrText>HYPERLINK "https://www.estadao.com.br/ciencia/para-conter-aquecimento-do-planeta-petroleo-nao-deve-ser-explorado-na-foz-do-amazonas-diz-estudo-nprm/" \t "_blank"</w:instrText>
      </w:r>
      <w:r w:rsidRPr="00B33600">
        <w:rPr>
          <w:rFonts w:ascii="Georgia" w:eastAsia="Times New Roman" w:hAnsi="Georgia" w:cs="Times New Roman"/>
          <w:color w:val="333333"/>
          <w:kern w:val="0"/>
          <w:sz w:val="26"/>
          <w:szCs w:val="26"/>
          <w:lang w:eastAsia="es-UY"/>
          <w14:ligatures w14:val="none"/>
        </w:rPr>
      </w:r>
      <w:r w:rsidRPr="00B33600">
        <w:rPr>
          <w:rFonts w:ascii="Georgia" w:eastAsia="Times New Roman" w:hAnsi="Georgia" w:cs="Times New Roman"/>
          <w:color w:val="333333"/>
          <w:kern w:val="0"/>
          <w:sz w:val="26"/>
          <w:szCs w:val="26"/>
          <w:lang w:eastAsia="es-UY"/>
          <w14:ligatures w14:val="none"/>
        </w:rPr>
        <w:fldChar w:fldCharType="separate"/>
      </w:r>
      <w:r w:rsidRPr="00B33600">
        <w:rPr>
          <w:rFonts w:ascii="Georgia" w:eastAsia="Times New Roman" w:hAnsi="Georgia" w:cs="Times New Roman"/>
          <w:color w:val="FC6B01"/>
          <w:kern w:val="0"/>
          <w:sz w:val="26"/>
          <w:szCs w:val="26"/>
          <w:u w:val="single"/>
          <w:lang w:eastAsia="es-UY"/>
          <w14:ligatures w14:val="none"/>
        </w:rPr>
        <w:t>Estadão</w:t>
      </w:r>
      <w:proofErr w:type="spellEnd"/>
      <w:r w:rsidRPr="00B33600">
        <w:rPr>
          <w:rFonts w:ascii="Georgia" w:eastAsia="Times New Roman" w:hAnsi="Georgia" w:cs="Times New Roman"/>
          <w:color w:val="333333"/>
          <w:kern w:val="0"/>
          <w:sz w:val="26"/>
          <w:szCs w:val="26"/>
          <w:lang w:eastAsia="es-UY"/>
          <w14:ligatures w14:val="none"/>
        </w:rPr>
        <w:fldChar w:fldCharType="end"/>
      </w:r>
      <w:r w:rsidRPr="00B33600">
        <w:rPr>
          <w:rFonts w:ascii="Georgia" w:eastAsia="Times New Roman" w:hAnsi="Georgia" w:cs="Times New Roman"/>
          <w:color w:val="333333"/>
          <w:kern w:val="0"/>
          <w:sz w:val="26"/>
          <w:szCs w:val="26"/>
          <w:lang w:eastAsia="es-UY"/>
          <w14:ligatures w14:val="none"/>
        </w:rPr>
        <w:t> . El estudio también consideró las regiones de la Amazonía Oriental y aquellas influenciadas por el río Amazonas como áreas de máxima prioridad para la no explotación.</w:t>
      </w:r>
    </w:p>
    <w:p w14:paraId="0C697AD0"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17B17722"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Para no superar el límite del </w:t>
      </w:r>
      <w:r w:rsidRPr="00B33600">
        <w:rPr>
          <w:rFonts w:ascii="Georgia" w:eastAsia="Times New Roman" w:hAnsi="Georgia" w:cs="Times New Roman"/>
          <w:b/>
          <w:bCs/>
          <w:color w:val="333333"/>
          <w:kern w:val="0"/>
          <w:sz w:val="26"/>
          <w:szCs w:val="26"/>
          <w:lang w:eastAsia="es-UY"/>
          <w14:ligatures w14:val="none"/>
        </w:rPr>
        <w:t>Acuerdo de París ,</w:t>
      </w:r>
      <w:r w:rsidRPr="00B33600">
        <w:rPr>
          <w:rFonts w:ascii="Georgia" w:eastAsia="Times New Roman" w:hAnsi="Georgia" w:cs="Times New Roman"/>
          <w:color w:val="333333"/>
          <w:kern w:val="0"/>
          <w:sz w:val="26"/>
          <w:szCs w:val="26"/>
          <w:lang w:eastAsia="es-UY"/>
          <w14:ligatures w14:val="none"/>
        </w:rPr>
        <w:t> alrededor del 67% del petróleo extraíble debe permanecer bajo tierra, explican los científicos, que utilizan criterios sociales y biológicos para determinar qué regiones no pueden ser exploradas. Algunas áreas fueron clasificadas como “ </w:t>
      </w:r>
      <w:r w:rsidRPr="00B33600">
        <w:rPr>
          <w:rFonts w:ascii="Georgia" w:eastAsia="Times New Roman" w:hAnsi="Georgia" w:cs="Times New Roman"/>
          <w:b/>
          <w:bCs/>
          <w:color w:val="333333"/>
          <w:kern w:val="0"/>
          <w:sz w:val="26"/>
          <w:szCs w:val="26"/>
          <w:lang w:eastAsia="es-UY"/>
          <w14:ligatures w14:val="none"/>
        </w:rPr>
        <w:t>zonas de exclusión</w:t>
      </w:r>
      <w:r w:rsidRPr="00B33600">
        <w:rPr>
          <w:rFonts w:ascii="Georgia" w:eastAsia="Times New Roman" w:hAnsi="Georgia" w:cs="Times New Roman"/>
          <w:color w:val="333333"/>
          <w:kern w:val="0"/>
          <w:sz w:val="26"/>
          <w:szCs w:val="26"/>
          <w:lang w:eastAsia="es-UY"/>
          <w14:ligatures w14:val="none"/>
        </w:rPr>
        <w:t> ” porque coinciden con lugares que deberían ser una prioridad total de conservación. Juntos suman 29,5 millones de km².</w:t>
      </w:r>
    </w:p>
    <w:p w14:paraId="1F51B172"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0E341D02"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En Brasil, además de la </w:t>
      </w:r>
      <w:hyperlink r:id="rId8" w:tgtFrame="_blank" w:history="1">
        <w:r w:rsidRPr="00B33600">
          <w:rPr>
            <w:rFonts w:ascii="Georgia" w:eastAsia="Times New Roman" w:hAnsi="Georgia" w:cs="Times New Roman"/>
            <w:color w:val="FC6B01"/>
            <w:kern w:val="0"/>
            <w:sz w:val="26"/>
            <w:szCs w:val="26"/>
            <w:u w:val="single"/>
            <w:lang w:eastAsia="es-UY"/>
            <w14:ligatures w14:val="none"/>
          </w:rPr>
          <w:t>Selva Amazónica</w:t>
        </w:r>
      </w:hyperlink>
      <w:r w:rsidRPr="00B33600">
        <w:rPr>
          <w:rFonts w:ascii="Georgia" w:eastAsia="Times New Roman" w:hAnsi="Georgia" w:cs="Times New Roman"/>
          <w:color w:val="333333"/>
          <w:kern w:val="0"/>
          <w:sz w:val="26"/>
          <w:szCs w:val="26"/>
          <w:lang w:eastAsia="es-UY"/>
          <w14:ligatures w14:val="none"/>
        </w:rPr>
        <w:t> , se incluyeron en la lista parte de la </w:t>
      </w:r>
      <w:hyperlink r:id="rId9" w:tgtFrame="_blank" w:history="1">
        <w:r w:rsidRPr="00B33600">
          <w:rPr>
            <w:rFonts w:ascii="Georgia" w:eastAsia="Times New Roman" w:hAnsi="Georgia" w:cs="Times New Roman"/>
            <w:color w:val="FC6B01"/>
            <w:kern w:val="0"/>
            <w:sz w:val="26"/>
            <w:szCs w:val="26"/>
            <w:u w:val="single"/>
            <w:lang w:eastAsia="es-UY"/>
            <w14:ligatures w14:val="none"/>
          </w:rPr>
          <w:t>Mata Atlántica</w:t>
        </w:r>
      </w:hyperlink>
      <w:r w:rsidRPr="00B33600">
        <w:rPr>
          <w:rFonts w:ascii="Georgia" w:eastAsia="Times New Roman" w:hAnsi="Georgia" w:cs="Times New Roman"/>
          <w:color w:val="333333"/>
          <w:kern w:val="0"/>
          <w:sz w:val="26"/>
          <w:szCs w:val="26"/>
          <w:lang w:eastAsia="es-UY"/>
          <w14:ligatures w14:val="none"/>
        </w:rPr>
        <w:t> y el </w:t>
      </w:r>
      <w:hyperlink r:id="rId10" w:tgtFrame="_blank" w:history="1">
        <w:r w:rsidRPr="00B33600">
          <w:rPr>
            <w:rFonts w:ascii="Georgia" w:eastAsia="Times New Roman" w:hAnsi="Georgia" w:cs="Times New Roman"/>
            <w:color w:val="FC6B01"/>
            <w:kern w:val="0"/>
            <w:sz w:val="26"/>
            <w:szCs w:val="26"/>
            <w:u w:val="single"/>
            <w:lang w:eastAsia="es-UY"/>
            <w14:ligatures w14:val="none"/>
          </w:rPr>
          <w:t>Cerrado</w:t>
        </w:r>
      </w:hyperlink>
      <w:r w:rsidRPr="00B33600">
        <w:rPr>
          <w:rFonts w:ascii="Georgia" w:eastAsia="Times New Roman" w:hAnsi="Georgia" w:cs="Times New Roman"/>
          <w:color w:val="333333"/>
          <w:kern w:val="0"/>
          <w:sz w:val="26"/>
          <w:szCs w:val="26"/>
          <w:lang w:eastAsia="es-UY"/>
          <w14:ligatures w14:val="none"/>
        </w:rPr>
        <w:t xml:space="preserve"> . En el exterior, algunas regiones </w:t>
      </w:r>
      <w:r w:rsidRPr="00B33600">
        <w:rPr>
          <w:rFonts w:ascii="Georgia" w:eastAsia="Times New Roman" w:hAnsi="Georgia" w:cs="Times New Roman"/>
          <w:color w:val="333333"/>
          <w:kern w:val="0"/>
          <w:sz w:val="26"/>
          <w:szCs w:val="26"/>
          <w:lang w:eastAsia="es-UY"/>
          <w14:ligatures w14:val="none"/>
        </w:rPr>
        <w:lastRenderedPageBreak/>
        <w:t>consideradas de alta prioridad son las islas </w:t>
      </w:r>
      <w:r w:rsidRPr="00B33600">
        <w:rPr>
          <w:rFonts w:ascii="Georgia" w:eastAsia="Times New Roman" w:hAnsi="Georgia" w:cs="Times New Roman"/>
          <w:b/>
          <w:bCs/>
          <w:color w:val="333333"/>
          <w:kern w:val="0"/>
          <w:sz w:val="26"/>
          <w:szCs w:val="26"/>
          <w:lang w:eastAsia="es-UY"/>
          <w14:ligatures w14:val="none"/>
        </w:rPr>
        <w:t>del Caribe</w:t>
      </w:r>
      <w:r w:rsidRPr="00B33600">
        <w:rPr>
          <w:rFonts w:ascii="Georgia" w:eastAsia="Times New Roman" w:hAnsi="Georgia" w:cs="Times New Roman"/>
          <w:color w:val="333333"/>
          <w:kern w:val="0"/>
          <w:sz w:val="26"/>
          <w:szCs w:val="26"/>
          <w:lang w:eastAsia="es-UY"/>
          <w14:ligatures w14:val="none"/>
        </w:rPr>
        <w:t> , el </w:t>
      </w:r>
      <w:r w:rsidRPr="00B33600">
        <w:rPr>
          <w:rFonts w:ascii="Georgia" w:eastAsia="Times New Roman" w:hAnsi="Georgia" w:cs="Times New Roman"/>
          <w:b/>
          <w:bCs/>
          <w:color w:val="333333"/>
          <w:kern w:val="0"/>
          <w:sz w:val="26"/>
          <w:szCs w:val="26"/>
          <w:lang w:eastAsia="es-UY"/>
          <w14:ligatures w14:val="none"/>
        </w:rPr>
        <w:t>Cuerno de África</w:t>
      </w:r>
      <w:r w:rsidRPr="00B33600">
        <w:rPr>
          <w:rFonts w:ascii="Georgia" w:eastAsia="Times New Roman" w:hAnsi="Georgia" w:cs="Times New Roman"/>
          <w:color w:val="333333"/>
          <w:kern w:val="0"/>
          <w:sz w:val="26"/>
          <w:szCs w:val="26"/>
          <w:lang w:eastAsia="es-UY"/>
          <w14:ligatures w14:val="none"/>
        </w:rPr>
        <w:t> (zonas de </w:t>
      </w:r>
      <w:r w:rsidRPr="00B33600">
        <w:rPr>
          <w:rFonts w:ascii="Georgia" w:eastAsia="Times New Roman" w:hAnsi="Georgia" w:cs="Times New Roman"/>
          <w:b/>
          <w:bCs/>
          <w:color w:val="333333"/>
          <w:kern w:val="0"/>
          <w:sz w:val="26"/>
          <w:szCs w:val="26"/>
          <w:lang w:eastAsia="es-UY"/>
          <w14:ligatures w14:val="none"/>
        </w:rPr>
        <w:t>Somalia</w:t>
      </w:r>
      <w:r w:rsidRPr="00B33600">
        <w:rPr>
          <w:rFonts w:ascii="Georgia" w:eastAsia="Times New Roman" w:hAnsi="Georgia" w:cs="Times New Roman"/>
          <w:color w:val="333333"/>
          <w:kern w:val="0"/>
          <w:sz w:val="26"/>
          <w:szCs w:val="26"/>
          <w:lang w:eastAsia="es-UY"/>
          <w14:ligatures w14:val="none"/>
        </w:rPr>
        <w:t> , </w:t>
      </w:r>
      <w:r w:rsidRPr="00B33600">
        <w:rPr>
          <w:rFonts w:ascii="Georgia" w:eastAsia="Times New Roman" w:hAnsi="Georgia" w:cs="Times New Roman"/>
          <w:b/>
          <w:bCs/>
          <w:color w:val="333333"/>
          <w:kern w:val="0"/>
          <w:sz w:val="26"/>
          <w:szCs w:val="26"/>
          <w:lang w:eastAsia="es-UY"/>
          <w14:ligatures w14:val="none"/>
        </w:rPr>
        <w:t>Etiopía</w:t>
      </w:r>
      <w:r w:rsidRPr="00B33600">
        <w:rPr>
          <w:rFonts w:ascii="Georgia" w:eastAsia="Times New Roman" w:hAnsi="Georgia" w:cs="Times New Roman"/>
          <w:color w:val="333333"/>
          <w:kern w:val="0"/>
          <w:sz w:val="26"/>
          <w:szCs w:val="26"/>
          <w:lang w:eastAsia="es-UY"/>
          <w14:ligatures w14:val="none"/>
        </w:rPr>
        <w:t> , </w:t>
      </w:r>
      <w:r w:rsidRPr="00B33600">
        <w:rPr>
          <w:rFonts w:ascii="Georgia" w:eastAsia="Times New Roman" w:hAnsi="Georgia" w:cs="Times New Roman"/>
          <w:b/>
          <w:bCs/>
          <w:color w:val="333333"/>
          <w:kern w:val="0"/>
          <w:sz w:val="26"/>
          <w:szCs w:val="26"/>
          <w:lang w:eastAsia="es-UY"/>
          <w14:ligatures w14:val="none"/>
        </w:rPr>
        <w:t>Eritrea</w:t>
      </w:r>
      <w:r w:rsidRPr="00B33600">
        <w:rPr>
          <w:rFonts w:ascii="Georgia" w:eastAsia="Times New Roman" w:hAnsi="Georgia" w:cs="Times New Roman"/>
          <w:color w:val="333333"/>
          <w:kern w:val="0"/>
          <w:sz w:val="26"/>
          <w:szCs w:val="26"/>
          <w:lang w:eastAsia="es-UY"/>
          <w14:ligatures w14:val="none"/>
        </w:rPr>
        <w:t> y </w:t>
      </w:r>
      <w:r w:rsidRPr="00B33600">
        <w:rPr>
          <w:rFonts w:ascii="Georgia" w:eastAsia="Times New Roman" w:hAnsi="Georgia" w:cs="Times New Roman"/>
          <w:b/>
          <w:bCs/>
          <w:color w:val="333333"/>
          <w:kern w:val="0"/>
          <w:sz w:val="26"/>
          <w:szCs w:val="26"/>
          <w:lang w:eastAsia="es-UY"/>
          <w14:ligatures w14:val="none"/>
        </w:rPr>
        <w:t>Yibuti</w:t>
      </w:r>
      <w:r w:rsidRPr="00B33600">
        <w:rPr>
          <w:rFonts w:ascii="Georgia" w:eastAsia="Times New Roman" w:hAnsi="Georgia" w:cs="Times New Roman"/>
          <w:color w:val="333333"/>
          <w:kern w:val="0"/>
          <w:sz w:val="26"/>
          <w:szCs w:val="26"/>
          <w:lang w:eastAsia="es-UY"/>
          <w14:ligatures w14:val="none"/>
        </w:rPr>
        <w:t> ) y los </w:t>
      </w:r>
      <w:r w:rsidRPr="00B33600">
        <w:rPr>
          <w:rFonts w:ascii="Georgia" w:eastAsia="Times New Roman" w:hAnsi="Georgia" w:cs="Times New Roman"/>
          <w:b/>
          <w:bCs/>
          <w:color w:val="333333"/>
          <w:kern w:val="0"/>
          <w:sz w:val="26"/>
          <w:szCs w:val="26"/>
          <w:lang w:eastAsia="es-UY"/>
          <w14:ligatures w14:val="none"/>
        </w:rPr>
        <w:t>Andes tropicales</w:t>
      </w:r>
      <w:r w:rsidRPr="00B33600">
        <w:rPr>
          <w:rFonts w:ascii="Georgia" w:eastAsia="Times New Roman" w:hAnsi="Georgia" w:cs="Times New Roman"/>
          <w:color w:val="333333"/>
          <w:kern w:val="0"/>
          <w:sz w:val="26"/>
          <w:szCs w:val="26"/>
          <w:lang w:eastAsia="es-UY"/>
          <w14:ligatures w14:val="none"/>
        </w:rPr>
        <w:t> . En conjunto, estas zonas de exclusión suman casi el 40% de las reservas totales de petróleo extraíble, según la encuesta.</w:t>
      </w:r>
    </w:p>
    <w:p w14:paraId="5B9AA2C9"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00499E69"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Dado que estas zonas de exclusión por sí solas no serán suficientes para preservar el 67% del petróleo extraíble en el suelo [después de todo, suman el 40%], los investigadores también clasificaron otras áreas del planeta como adicionales para protección. Para ello, observaron si la región contiene un alto grado de diversidad de especies y áreas consideradas protegidas. Y una de las zonas a evitar es la cuenca de Pelotas, en la costa sur de Brasil, que tuvo áreas subastadas en la “Subasta del Fin del Mundo” realizada por la ANP en diciembre del año pasado.</w:t>
      </w:r>
    </w:p>
    <w:p w14:paraId="4FDF051C"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234EDCF7"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Mientras tanto, el presidente de Petrobras, </w:t>
      </w:r>
      <w:hyperlink r:id="rId11" w:tgtFrame="_blank" w:history="1">
        <w:r w:rsidRPr="00B33600">
          <w:rPr>
            <w:rFonts w:ascii="Georgia" w:eastAsia="Times New Roman" w:hAnsi="Georgia" w:cs="Times New Roman"/>
            <w:color w:val="FC6B01"/>
            <w:kern w:val="0"/>
            <w:sz w:val="26"/>
            <w:szCs w:val="26"/>
            <w:u w:val="single"/>
            <w:lang w:eastAsia="es-UY"/>
            <w14:ligatures w14:val="none"/>
          </w:rPr>
          <w:t xml:space="preserve">Jean Paul </w:t>
        </w:r>
        <w:proofErr w:type="spellStart"/>
        <w:r w:rsidRPr="00B33600">
          <w:rPr>
            <w:rFonts w:ascii="Georgia" w:eastAsia="Times New Roman" w:hAnsi="Georgia" w:cs="Times New Roman"/>
            <w:color w:val="FC6B01"/>
            <w:kern w:val="0"/>
            <w:sz w:val="26"/>
            <w:szCs w:val="26"/>
            <w:u w:val="single"/>
            <w:lang w:eastAsia="es-UY"/>
            <w14:ligatures w14:val="none"/>
          </w:rPr>
          <w:t>Prates</w:t>
        </w:r>
        <w:proofErr w:type="spellEnd"/>
      </w:hyperlink>
      <w:r w:rsidRPr="00B33600">
        <w:rPr>
          <w:rFonts w:ascii="Georgia" w:eastAsia="Times New Roman" w:hAnsi="Georgia" w:cs="Times New Roman"/>
          <w:color w:val="333333"/>
          <w:kern w:val="0"/>
          <w:sz w:val="26"/>
          <w:szCs w:val="26"/>
          <w:lang w:eastAsia="es-UY"/>
          <w14:ligatures w14:val="none"/>
        </w:rPr>
        <w:t> , por enésima vez salió en defensa de la exploración de combustibles fósiles en la desembocadura del Amazonas, informaron  </w:t>
      </w:r>
      <w:hyperlink r:id="rId12" w:tgtFrame="_blank" w:history="1">
        <w:r w:rsidRPr="00B33600">
          <w:rPr>
            <w:rFonts w:ascii="Georgia" w:eastAsia="Times New Roman" w:hAnsi="Georgia" w:cs="Times New Roman"/>
            <w:color w:val="FC6B01"/>
            <w:kern w:val="0"/>
            <w:sz w:val="26"/>
            <w:szCs w:val="26"/>
            <w:u w:val="single"/>
            <w:lang w:eastAsia="es-UY"/>
            <w14:ligatures w14:val="none"/>
          </w:rPr>
          <w:t>Investing.com</w:t>
        </w:r>
      </w:hyperlink>
      <w:r w:rsidRPr="00B33600">
        <w:rPr>
          <w:rFonts w:ascii="Georgia" w:eastAsia="Times New Roman" w:hAnsi="Georgia" w:cs="Times New Roman"/>
          <w:color w:val="333333"/>
          <w:kern w:val="0"/>
          <w:sz w:val="26"/>
          <w:szCs w:val="26"/>
          <w:lang w:eastAsia="es-UY"/>
          <w14:ligatures w14:val="none"/>
        </w:rPr>
        <w:t>  y  </w:t>
      </w:r>
      <w:hyperlink r:id="rId13" w:tgtFrame="_blank" w:history="1">
        <w:r w:rsidRPr="00B33600">
          <w:rPr>
            <w:rFonts w:ascii="Georgia" w:eastAsia="Times New Roman" w:hAnsi="Georgia" w:cs="Times New Roman"/>
            <w:color w:val="FC6B01"/>
            <w:kern w:val="0"/>
            <w:sz w:val="26"/>
            <w:szCs w:val="26"/>
            <w:u w:val="single"/>
            <w:lang w:eastAsia="es-UY"/>
            <w14:ligatures w14:val="none"/>
          </w:rPr>
          <w:t>Portal do Holanda</w:t>
        </w:r>
      </w:hyperlink>
      <w:r w:rsidRPr="00B33600">
        <w:rPr>
          <w:rFonts w:ascii="Georgia" w:eastAsia="Times New Roman" w:hAnsi="Georgia" w:cs="Times New Roman"/>
          <w:color w:val="333333"/>
          <w:kern w:val="0"/>
          <w:sz w:val="26"/>
          <w:szCs w:val="26"/>
          <w:lang w:eastAsia="es-UY"/>
          <w14:ligatures w14:val="none"/>
        </w:rPr>
        <w:t> . Y la letanía es la misma: explorar petróleo y gas fósil en Foz y otras cuencas del margen ecuatorial sería “fundamental” para la transición energética.</w:t>
      </w:r>
    </w:p>
    <w:p w14:paraId="0F93509C" w14:textId="77777777" w:rsidR="00B33600" w:rsidRP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p>
    <w:p w14:paraId="237FB9C3"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Y la presión de los mandos de </w:t>
      </w:r>
      <w:r w:rsidRPr="00B33600">
        <w:rPr>
          <w:rFonts w:ascii="Georgia" w:eastAsia="Times New Roman" w:hAnsi="Georgia" w:cs="Times New Roman"/>
          <w:b/>
          <w:bCs/>
          <w:color w:val="333333"/>
          <w:kern w:val="0"/>
          <w:sz w:val="26"/>
          <w:szCs w:val="26"/>
          <w:lang w:eastAsia="es-UY"/>
          <w14:ligatures w14:val="none"/>
        </w:rPr>
        <w:t>Petrobras</w:t>
      </w:r>
      <w:r w:rsidRPr="00B33600">
        <w:rPr>
          <w:rFonts w:ascii="Georgia" w:eastAsia="Times New Roman" w:hAnsi="Georgia" w:cs="Times New Roman"/>
          <w:color w:val="333333"/>
          <w:kern w:val="0"/>
          <w:sz w:val="26"/>
          <w:szCs w:val="26"/>
          <w:lang w:eastAsia="es-UY"/>
          <w14:ligatures w14:val="none"/>
        </w:rPr>
        <w:t> y de parte del gobierno para que </w:t>
      </w:r>
      <w:r w:rsidRPr="00B33600">
        <w:rPr>
          <w:rFonts w:ascii="Georgia" w:eastAsia="Times New Roman" w:hAnsi="Georgia" w:cs="Times New Roman"/>
          <w:b/>
          <w:bCs/>
          <w:color w:val="333333"/>
          <w:kern w:val="0"/>
          <w:sz w:val="26"/>
          <w:szCs w:val="26"/>
          <w:lang w:eastAsia="es-UY"/>
          <w14:ligatures w14:val="none"/>
        </w:rPr>
        <w:t>el IBAMA</w:t>
      </w:r>
      <w:r w:rsidRPr="00B33600">
        <w:rPr>
          <w:rFonts w:ascii="Georgia" w:eastAsia="Times New Roman" w:hAnsi="Georgia" w:cs="Times New Roman"/>
          <w:color w:val="333333"/>
          <w:kern w:val="0"/>
          <w:sz w:val="26"/>
          <w:szCs w:val="26"/>
          <w:lang w:eastAsia="es-UY"/>
          <w14:ligatures w14:val="none"/>
        </w:rPr>
        <w:t> conceda la licencia a la petrolera para perforar un pozo en el bloque FZA-M-59 parece haber obtenido la aprobación de la Empresa de Investigación Energética (EPE). Incluso sin confirmación de los descubrimientos en la cuenca, EPE incluyó la desembocadura del Amazonas en sus estudios de planificación de ampliación de la infraestructura de gas: el Plan Indicativo de Procesamiento y Flujo (PIPE), informa  </w:t>
      </w:r>
      <w:proofErr w:type="spellStart"/>
      <w:r w:rsidRPr="00B33600">
        <w:rPr>
          <w:rFonts w:ascii="Georgia" w:eastAsia="Times New Roman" w:hAnsi="Georgia" w:cs="Times New Roman"/>
          <w:color w:val="333333"/>
          <w:kern w:val="0"/>
          <w:sz w:val="26"/>
          <w:szCs w:val="26"/>
          <w:lang w:eastAsia="es-UY"/>
          <w14:ligatures w14:val="none"/>
        </w:rPr>
        <w:fldChar w:fldCharType="begin"/>
      </w:r>
      <w:r w:rsidRPr="00B33600">
        <w:rPr>
          <w:rFonts w:ascii="Georgia" w:eastAsia="Times New Roman" w:hAnsi="Georgia" w:cs="Times New Roman"/>
          <w:color w:val="333333"/>
          <w:kern w:val="0"/>
          <w:sz w:val="26"/>
          <w:szCs w:val="26"/>
          <w:lang w:eastAsia="es-UY"/>
          <w14:ligatures w14:val="none"/>
        </w:rPr>
        <w:instrText>HYPERLINK "https://epbr.com.br/epe-acredita-que-foz-do-amazonas-pode-se-tornar-um-polo-de-producao-de-gas/"</w:instrText>
      </w:r>
      <w:r w:rsidRPr="00B33600">
        <w:rPr>
          <w:rFonts w:ascii="Georgia" w:eastAsia="Times New Roman" w:hAnsi="Georgia" w:cs="Times New Roman"/>
          <w:color w:val="333333"/>
          <w:kern w:val="0"/>
          <w:sz w:val="26"/>
          <w:szCs w:val="26"/>
          <w:lang w:eastAsia="es-UY"/>
          <w14:ligatures w14:val="none"/>
        </w:rPr>
      </w:r>
      <w:r w:rsidRPr="00B33600">
        <w:rPr>
          <w:rFonts w:ascii="Georgia" w:eastAsia="Times New Roman" w:hAnsi="Georgia" w:cs="Times New Roman"/>
          <w:color w:val="333333"/>
          <w:kern w:val="0"/>
          <w:sz w:val="26"/>
          <w:szCs w:val="26"/>
          <w:lang w:eastAsia="es-UY"/>
          <w14:ligatures w14:val="none"/>
        </w:rPr>
        <w:fldChar w:fldCharType="separate"/>
      </w:r>
      <w:r w:rsidRPr="00B33600">
        <w:rPr>
          <w:rFonts w:ascii="Georgia" w:eastAsia="Times New Roman" w:hAnsi="Georgia" w:cs="Times New Roman"/>
          <w:color w:val="FC6B01"/>
          <w:kern w:val="0"/>
          <w:sz w:val="26"/>
          <w:szCs w:val="26"/>
          <w:u w:val="single"/>
          <w:lang w:eastAsia="es-UY"/>
          <w14:ligatures w14:val="none"/>
        </w:rPr>
        <w:t>epbr</w:t>
      </w:r>
      <w:proofErr w:type="spellEnd"/>
      <w:r w:rsidRPr="00B33600">
        <w:rPr>
          <w:rFonts w:ascii="Georgia" w:eastAsia="Times New Roman" w:hAnsi="Georgia" w:cs="Times New Roman"/>
          <w:color w:val="333333"/>
          <w:kern w:val="0"/>
          <w:sz w:val="26"/>
          <w:szCs w:val="26"/>
          <w:lang w:eastAsia="es-UY"/>
          <w14:ligatures w14:val="none"/>
        </w:rPr>
        <w:fldChar w:fldCharType="end"/>
      </w:r>
      <w:r w:rsidRPr="00B33600">
        <w:rPr>
          <w:rFonts w:ascii="Georgia" w:eastAsia="Times New Roman" w:hAnsi="Georgia" w:cs="Times New Roman"/>
          <w:color w:val="333333"/>
          <w:kern w:val="0"/>
          <w:sz w:val="26"/>
          <w:szCs w:val="26"/>
          <w:lang w:eastAsia="es-UY"/>
          <w14:ligatures w14:val="none"/>
        </w:rPr>
        <w:t> .</w:t>
      </w:r>
    </w:p>
    <w:p w14:paraId="33B200B5" w14:textId="77777777" w:rsidR="00B33600" w:rsidRPr="00B33600" w:rsidRDefault="00B33600" w:rsidP="00B33600">
      <w:pPr>
        <w:spacing w:after="0" w:line="240" w:lineRule="auto"/>
        <w:rPr>
          <w:rFonts w:ascii="Georgia" w:eastAsia="Times New Roman" w:hAnsi="Georgia" w:cs="Times New Roman"/>
          <w:color w:val="333333"/>
          <w:kern w:val="0"/>
          <w:sz w:val="26"/>
          <w:szCs w:val="26"/>
          <w:lang w:eastAsia="es-UY"/>
          <w14:ligatures w14:val="none"/>
        </w:rPr>
      </w:pPr>
    </w:p>
    <w:p w14:paraId="76064162" w14:textId="77777777" w:rsidR="00B33600" w:rsidRDefault="00B33600" w:rsidP="00B33600">
      <w:pPr>
        <w:spacing w:after="0" w:line="240" w:lineRule="auto"/>
        <w:outlineLvl w:val="1"/>
        <w:rPr>
          <w:rFonts w:ascii="Lato" w:eastAsia="Times New Roman" w:hAnsi="Lato" w:cs="Times New Roman"/>
          <w:b/>
          <w:bCs/>
          <w:color w:val="333333"/>
          <w:kern w:val="0"/>
          <w:sz w:val="36"/>
          <w:szCs w:val="36"/>
          <w:lang w:eastAsia="es-UY"/>
          <w14:ligatures w14:val="none"/>
        </w:rPr>
      </w:pPr>
      <w:r w:rsidRPr="00B33600">
        <w:rPr>
          <w:rFonts w:ascii="Lato" w:eastAsia="Times New Roman" w:hAnsi="Lato" w:cs="Times New Roman"/>
          <w:b/>
          <w:bCs/>
          <w:color w:val="333333"/>
          <w:kern w:val="0"/>
          <w:sz w:val="36"/>
          <w:szCs w:val="36"/>
          <w:lang w:eastAsia="es-UY"/>
          <w14:ligatures w14:val="none"/>
        </w:rPr>
        <w:t>En tiempo</w:t>
      </w:r>
    </w:p>
    <w:p w14:paraId="691EC55A" w14:textId="77777777" w:rsidR="00B33600" w:rsidRPr="00B33600" w:rsidRDefault="00B33600" w:rsidP="00B33600">
      <w:pPr>
        <w:spacing w:after="0" w:line="240" w:lineRule="auto"/>
        <w:outlineLvl w:val="1"/>
        <w:rPr>
          <w:rFonts w:ascii="Lato" w:eastAsia="Times New Roman" w:hAnsi="Lato" w:cs="Times New Roman"/>
          <w:b/>
          <w:bCs/>
          <w:color w:val="333333"/>
          <w:kern w:val="0"/>
          <w:sz w:val="36"/>
          <w:szCs w:val="36"/>
          <w:lang w:eastAsia="es-UY"/>
          <w14:ligatures w14:val="none"/>
        </w:rPr>
      </w:pPr>
    </w:p>
    <w:p w14:paraId="69073ABE" w14:textId="77777777" w:rsidR="00B33600" w:rsidRDefault="00B33600" w:rsidP="00B33600">
      <w:pPr>
        <w:spacing w:after="0" w:line="240" w:lineRule="auto"/>
        <w:jc w:val="both"/>
        <w:rPr>
          <w:rFonts w:ascii="Georgia" w:eastAsia="Times New Roman" w:hAnsi="Georgia" w:cs="Times New Roman"/>
          <w:color w:val="333333"/>
          <w:kern w:val="0"/>
          <w:sz w:val="26"/>
          <w:szCs w:val="26"/>
          <w:lang w:eastAsia="es-UY"/>
          <w14:ligatures w14:val="none"/>
        </w:rPr>
      </w:pPr>
      <w:r w:rsidRPr="00B33600">
        <w:rPr>
          <w:rFonts w:ascii="Georgia" w:eastAsia="Times New Roman" w:hAnsi="Georgia" w:cs="Times New Roman"/>
          <w:color w:val="333333"/>
          <w:kern w:val="0"/>
          <w:sz w:val="26"/>
          <w:szCs w:val="26"/>
          <w:lang w:eastAsia="es-UY"/>
          <w14:ligatures w14:val="none"/>
        </w:rPr>
        <w:t>Los ministros de Asuntos Exteriores de los países de la </w:t>
      </w:r>
      <w:r w:rsidRPr="00B33600">
        <w:rPr>
          <w:rFonts w:ascii="Georgia" w:eastAsia="Times New Roman" w:hAnsi="Georgia" w:cs="Times New Roman"/>
          <w:b/>
          <w:bCs/>
          <w:color w:val="333333"/>
          <w:kern w:val="0"/>
          <w:sz w:val="26"/>
          <w:szCs w:val="26"/>
          <w:lang w:eastAsia="es-UY"/>
          <w14:ligatures w14:val="none"/>
        </w:rPr>
        <w:t>Unión Europea</w:t>
      </w:r>
      <w:r w:rsidRPr="00B33600">
        <w:rPr>
          <w:rFonts w:ascii="Georgia" w:eastAsia="Times New Roman" w:hAnsi="Georgia" w:cs="Times New Roman"/>
          <w:color w:val="333333"/>
          <w:kern w:val="0"/>
          <w:sz w:val="26"/>
          <w:szCs w:val="26"/>
          <w:lang w:eastAsia="es-UY"/>
          <w14:ligatures w14:val="none"/>
        </w:rPr>
        <w:t> quieren que la industria de los combustibles fósiles ayude a pagar la factura de la lucha contra el cambio climático en los países pobres. Para tratar de hacer frente a los crecientes costos de las letales olas de calor, las sequías y el aumento del nivel del mar, la UE se está preparando para defender que el nuevo objetivo de financiación climática que se fijará en la </w:t>
      </w:r>
      <w:hyperlink r:id="rId14" w:tgtFrame="_blank" w:history="1">
        <w:r w:rsidRPr="00B33600">
          <w:rPr>
            <w:rFonts w:ascii="Georgia" w:eastAsia="Times New Roman" w:hAnsi="Georgia" w:cs="Times New Roman"/>
            <w:color w:val="FC6B01"/>
            <w:kern w:val="0"/>
            <w:sz w:val="26"/>
            <w:szCs w:val="26"/>
            <w:u w:val="single"/>
            <w:lang w:eastAsia="es-UY"/>
            <w14:ligatures w14:val="none"/>
          </w:rPr>
          <w:t>COP29</w:t>
        </w:r>
      </w:hyperlink>
      <w:r w:rsidRPr="00B33600">
        <w:rPr>
          <w:rFonts w:ascii="Georgia" w:eastAsia="Times New Roman" w:hAnsi="Georgia" w:cs="Times New Roman"/>
          <w:color w:val="333333"/>
          <w:kern w:val="0"/>
          <w:sz w:val="26"/>
          <w:szCs w:val="26"/>
          <w:lang w:eastAsia="es-UY"/>
          <w14:ligatures w14:val="none"/>
        </w:rPr>
        <w:t> del próximo noviembre en </w:t>
      </w:r>
      <w:r w:rsidRPr="00B33600">
        <w:rPr>
          <w:rFonts w:ascii="Georgia" w:eastAsia="Times New Roman" w:hAnsi="Georgia" w:cs="Times New Roman"/>
          <w:b/>
          <w:bCs/>
          <w:color w:val="333333"/>
          <w:kern w:val="0"/>
          <w:sz w:val="26"/>
          <w:szCs w:val="26"/>
          <w:lang w:eastAsia="es-UY"/>
          <w14:ligatures w14:val="none"/>
        </w:rPr>
        <w:t>Bakú</w:t>
      </w:r>
      <w:r w:rsidRPr="00B33600">
        <w:rPr>
          <w:rFonts w:ascii="Georgia" w:eastAsia="Times New Roman" w:hAnsi="Georgia" w:cs="Times New Roman"/>
          <w:color w:val="333333"/>
          <w:kern w:val="0"/>
          <w:sz w:val="26"/>
          <w:szCs w:val="26"/>
          <w:lang w:eastAsia="es-UY"/>
          <w14:ligatures w14:val="none"/>
        </w:rPr>
        <w:t> , </w:t>
      </w:r>
      <w:r w:rsidRPr="00B33600">
        <w:rPr>
          <w:rFonts w:ascii="Georgia" w:eastAsia="Times New Roman" w:hAnsi="Georgia" w:cs="Times New Roman"/>
          <w:b/>
          <w:bCs/>
          <w:color w:val="333333"/>
          <w:kern w:val="0"/>
          <w:sz w:val="26"/>
          <w:szCs w:val="26"/>
          <w:lang w:eastAsia="es-UY"/>
          <w14:ligatures w14:val="none"/>
        </w:rPr>
        <w:t>Azerbaiyán</w:t>
      </w:r>
      <w:r w:rsidRPr="00B33600">
        <w:rPr>
          <w:rFonts w:ascii="Georgia" w:eastAsia="Times New Roman" w:hAnsi="Georgia" w:cs="Times New Roman"/>
          <w:color w:val="333333"/>
          <w:kern w:val="0"/>
          <w:sz w:val="26"/>
          <w:szCs w:val="26"/>
          <w:lang w:eastAsia="es-UY"/>
          <w14:ligatures w14:val="none"/>
        </w:rPr>
        <w:t> , no puede ser compuesto por fondos públicos. Sólo financiación, informa  </w:t>
      </w:r>
      <w:hyperlink r:id="rId15" w:tgtFrame="_blank" w:history="1">
        <w:r w:rsidRPr="00B33600">
          <w:rPr>
            <w:rFonts w:ascii="Georgia" w:eastAsia="Times New Roman" w:hAnsi="Georgia" w:cs="Times New Roman"/>
            <w:color w:val="FC6B01"/>
            <w:kern w:val="0"/>
            <w:sz w:val="26"/>
            <w:szCs w:val="26"/>
            <w:u w:val="single"/>
            <w:lang w:eastAsia="es-UY"/>
            <w14:ligatures w14:val="none"/>
          </w:rPr>
          <w:t>Reuters</w:t>
        </w:r>
      </w:hyperlink>
      <w:r w:rsidRPr="00B33600">
        <w:rPr>
          <w:rFonts w:ascii="Georgia" w:eastAsia="Times New Roman" w:hAnsi="Georgia" w:cs="Times New Roman"/>
          <w:color w:val="333333"/>
          <w:kern w:val="0"/>
          <w:sz w:val="26"/>
          <w:szCs w:val="26"/>
          <w:lang w:eastAsia="es-UY"/>
          <w14:ligatures w14:val="none"/>
        </w:rPr>
        <w:t> . Es justo que la industria principal responsable de la crisis climática aporte parte de los enormes beneficios que registra año tras año, a costa del empeoramiento de los fenómenos meteorológicos extremos. Vale la pena recordar que </w:t>
      </w:r>
      <w:proofErr w:type="spellStart"/>
      <w:r w:rsidRPr="00B33600">
        <w:rPr>
          <w:rFonts w:ascii="Georgia" w:eastAsia="Times New Roman" w:hAnsi="Georgia" w:cs="Times New Roman"/>
          <w:i/>
          <w:iCs/>
          <w:color w:val="333333"/>
          <w:kern w:val="0"/>
          <w:sz w:val="26"/>
          <w:szCs w:val="26"/>
          <w:lang w:eastAsia="es-UY"/>
          <w14:ligatures w14:val="none"/>
        </w:rPr>
        <w:t>Climate</w:t>
      </w:r>
      <w:proofErr w:type="spellEnd"/>
      <w:r w:rsidRPr="00B33600">
        <w:rPr>
          <w:rFonts w:ascii="Georgia" w:eastAsia="Times New Roman" w:hAnsi="Georgia" w:cs="Times New Roman"/>
          <w:i/>
          <w:iCs/>
          <w:color w:val="333333"/>
          <w:kern w:val="0"/>
          <w:sz w:val="26"/>
          <w:szCs w:val="26"/>
          <w:lang w:eastAsia="es-UY"/>
          <w14:ligatures w14:val="none"/>
        </w:rPr>
        <w:t xml:space="preserve"> </w:t>
      </w:r>
      <w:proofErr w:type="spellStart"/>
      <w:r w:rsidRPr="00B33600">
        <w:rPr>
          <w:rFonts w:ascii="Georgia" w:eastAsia="Times New Roman" w:hAnsi="Georgia" w:cs="Times New Roman"/>
          <w:i/>
          <w:iCs/>
          <w:color w:val="333333"/>
          <w:kern w:val="0"/>
          <w:sz w:val="26"/>
          <w:szCs w:val="26"/>
          <w:lang w:eastAsia="es-UY"/>
          <w14:ligatures w14:val="none"/>
        </w:rPr>
        <w:t>Analytics</w:t>
      </w:r>
      <w:proofErr w:type="spellEnd"/>
      <w:r w:rsidRPr="00B33600">
        <w:rPr>
          <w:rFonts w:ascii="Georgia" w:eastAsia="Times New Roman" w:hAnsi="Georgia" w:cs="Times New Roman"/>
          <w:color w:val="333333"/>
          <w:kern w:val="0"/>
          <w:sz w:val="26"/>
          <w:szCs w:val="26"/>
          <w:lang w:eastAsia="es-UY"/>
          <w14:ligatures w14:val="none"/>
        </w:rPr>
        <w:t> ya ha demostrado que  </w:t>
      </w:r>
      <w:hyperlink r:id="rId16" w:tgtFrame="_blank" w:history="1">
        <w:r w:rsidRPr="00B33600">
          <w:rPr>
            <w:rFonts w:ascii="Georgia" w:eastAsia="Times New Roman" w:hAnsi="Georgia" w:cs="Times New Roman"/>
            <w:color w:val="FC6B01"/>
            <w:kern w:val="0"/>
            <w:sz w:val="26"/>
            <w:szCs w:val="26"/>
            <w:u w:val="single"/>
            <w:lang w:eastAsia="es-UY"/>
            <w14:ligatures w14:val="none"/>
          </w:rPr>
          <w:t>las compañías petroleras podrían pagar</w:t>
        </w:r>
      </w:hyperlink>
      <w:r w:rsidRPr="00B33600">
        <w:rPr>
          <w:rFonts w:ascii="Georgia" w:eastAsia="Times New Roman" w:hAnsi="Georgia" w:cs="Times New Roman"/>
          <w:color w:val="333333"/>
          <w:kern w:val="0"/>
          <w:sz w:val="26"/>
          <w:szCs w:val="26"/>
          <w:lang w:eastAsia="es-UY"/>
          <w14:ligatures w14:val="none"/>
        </w:rPr>
        <w:t>  por lo que causaron al clima del planeta y seguir siendo empresas rentables.</w:t>
      </w:r>
    </w:p>
    <w:p w14:paraId="00E50034" w14:textId="77777777" w:rsidR="00B33600" w:rsidRPr="00B33600" w:rsidRDefault="00B33600" w:rsidP="00B33600">
      <w:pPr>
        <w:spacing w:after="0" w:line="240" w:lineRule="auto"/>
        <w:jc w:val="both"/>
        <w:rPr>
          <w:rFonts w:ascii="Georgia" w:eastAsia="Times New Roman" w:hAnsi="Georgia" w:cs="Times New Roman"/>
          <w:color w:val="333333"/>
          <w:kern w:val="0"/>
          <w:sz w:val="24"/>
          <w:szCs w:val="24"/>
          <w:lang w:eastAsia="es-UY"/>
          <w14:ligatures w14:val="none"/>
        </w:rPr>
      </w:pPr>
    </w:p>
    <w:p w14:paraId="22AED4EA" w14:textId="6215C098" w:rsidR="00B33600" w:rsidRPr="00B33600" w:rsidRDefault="00B33600" w:rsidP="00B33600">
      <w:pPr>
        <w:jc w:val="both"/>
        <w:rPr>
          <w:color w:val="BF4E14" w:themeColor="accent2" w:themeShade="BF"/>
          <w:sz w:val="24"/>
          <w:szCs w:val="24"/>
        </w:rPr>
      </w:pPr>
      <w:hyperlink r:id="rId17" w:history="1">
        <w:r w:rsidRPr="00B33600">
          <w:rPr>
            <w:rStyle w:val="Hipervnculo"/>
            <w:color w:val="345964" w:themeColor="hyperlink" w:themeShade="BF"/>
            <w:sz w:val="24"/>
            <w:szCs w:val="24"/>
          </w:rPr>
          <w:t>https://www.ihu.unisinos.br/637656-para-conter-aquecimento-global-petroleo-na-foz-do-amazonas-nao-pode-ser-explorado-mostra-estudo?utm_campaign=newsletter_ihu__21-03-2024&amp;utm_medium=email&amp;utm_source=RD+Station</w:t>
        </w:r>
      </w:hyperlink>
    </w:p>
    <w:p w14:paraId="12AFAD60" w14:textId="77777777" w:rsidR="00B33600" w:rsidRPr="00B33600" w:rsidRDefault="00B33600" w:rsidP="00B33600">
      <w:pPr>
        <w:jc w:val="both"/>
        <w:rPr>
          <w:color w:val="BF4E14" w:themeColor="accent2" w:themeShade="BF"/>
          <w:sz w:val="40"/>
          <w:szCs w:val="40"/>
        </w:rPr>
      </w:pPr>
    </w:p>
    <w:sectPr w:rsidR="00B33600" w:rsidRPr="00B336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00"/>
    <w:rsid w:val="00926044"/>
    <w:rsid w:val="00B3360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EE04"/>
  <w15:chartTrackingRefBased/>
  <w15:docId w15:val="{93D1B832-FFB6-47F2-B55E-B4ACB65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3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3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36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36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36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36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36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36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36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6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36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36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36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36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36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36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36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3600"/>
    <w:rPr>
      <w:rFonts w:eastAsiaTheme="majorEastAsia" w:cstheme="majorBidi"/>
      <w:color w:val="272727" w:themeColor="text1" w:themeTint="D8"/>
    </w:rPr>
  </w:style>
  <w:style w:type="paragraph" w:styleId="Ttulo">
    <w:name w:val="Title"/>
    <w:basedOn w:val="Normal"/>
    <w:next w:val="Normal"/>
    <w:link w:val="TtuloCar"/>
    <w:uiPriority w:val="10"/>
    <w:qFormat/>
    <w:rsid w:val="00B33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36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36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36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3600"/>
    <w:pPr>
      <w:spacing w:before="160"/>
      <w:jc w:val="center"/>
    </w:pPr>
    <w:rPr>
      <w:i/>
      <w:iCs/>
      <w:color w:val="404040" w:themeColor="text1" w:themeTint="BF"/>
    </w:rPr>
  </w:style>
  <w:style w:type="character" w:customStyle="1" w:styleId="CitaCar">
    <w:name w:val="Cita Car"/>
    <w:basedOn w:val="Fuentedeprrafopredeter"/>
    <w:link w:val="Cita"/>
    <w:uiPriority w:val="29"/>
    <w:rsid w:val="00B33600"/>
    <w:rPr>
      <w:i/>
      <w:iCs/>
      <w:color w:val="404040" w:themeColor="text1" w:themeTint="BF"/>
    </w:rPr>
  </w:style>
  <w:style w:type="paragraph" w:styleId="Prrafodelista">
    <w:name w:val="List Paragraph"/>
    <w:basedOn w:val="Normal"/>
    <w:uiPriority w:val="34"/>
    <w:qFormat/>
    <w:rsid w:val="00B33600"/>
    <w:pPr>
      <w:ind w:left="720"/>
      <w:contextualSpacing/>
    </w:pPr>
  </w:style>
  <w:style w:type="character" w:styleId="nfasisintenso">
    <w:name w:val="Intense Emphasis"/>
    <w:basedOn w:val="Fuentedeprrafopredeter"/>
    <w:uiPriority w:val="21"/>
    <w:qFormat/>
    <w:rsid w:val="00B33600"/>
    <w:rPr>
      <w:i/>
      <w:iCs/>
      <w:color w:val="0F4761" w:themeColor="accent1" w:themeShade="BF"/>
    </w:rPr>
  </w:style>
  <w:style w:type="paragraph" w:styleId="Citadestacada">
    <w:name w:val="Intense Quote"/>
    <w:basedOn w:val="Normal"/>
    <w:next w:val="Normal"/>
    <w:link w:val="CitadestacadaCar"/>
    <w:uiPriority w:val="30"/>
    <w:qFormat/>
    <w:rsid w:val="00B33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3600"/>
    <w:rPr>
      <w:i/>
      <w:iCs/>
      <w:color w:val="0F4761" w:themeColor="accent1" w:themeShade="BF"/>
    </w:rPr>
  </w:style>
  <w:style w:type="character" w:styleId="Referenciaintensa">
    <w:name w:val="Intense Reference"/>
    <w:basedOn w:val="Fuentedeprrafopredeter"/>
    <w:uiPriority w:val="32"/>
    <w:qFormat/>
    <w:rsid w:val="00B33600"/>
    <w:rPr>
      <w:b/>
      <w:bCs/>
      <w:smallCaps/>
      <w:color w:val="0F4761" w:themeColor="accent1" w:themeShade="BF"/>
      <w:spacing w:val="5"/>
    </w:rPr>
  </w:style>
  <w:style w:type="character" w:styleId="Hipervnculo">
    <w:name w:val="Hyperlink"/>
    <w:basedOn w:val="Fuentedeprrafopredeter"/>
    <w:uiPriority w:val="99"/>
    <w:unhideWhenUsed/>
    <w:rsid w:val="00B33600"/>
    <w:rPr>
      <w:color w:val="467886" w:themeColor="hyperlink"/>
      <w:u w:val="single"/>
    </w:rPr>
  </w:style>
  <w:style w:type="character" w:styleId="Mencinsinresolver">
    <w:name w:val="Unresolved Mention"/>
    <w:basedOn w:val="Fuentedeprrafopredeter"/>
    <w:uiPriority w:val="99"/>
    <w:semiHidden/>
    <w:unhideWhenUsed/>
    <w:rsid w:val="00B33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87733">
      <w:bodyDiv w:val="1"/>
      <w:marLeft w:val="0"/>
      <w:marRight w:val="0"/>
      <w:marTop w:val="0"/>
      <w:marBottom w:val="0"/>
      <w:divBdr>
        <w:top w:val="none" w:sz="0" w:space="0" w:color="auto"/>
        <w:left w:val="none" w:sz="0" w:space="0" w:color="auto"/>
        <w:bottom w:val="none" w:sz="0" w:space="0" w:color="auto"/>
        <w:right w:val="none" w:sz="0" w:space="0" w:color="auto"/>
      </w:divBdr>
    </w:div>
    <w:div w:id="10724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31020-como-salvar-a-floresta-amazonica-entrevista-com-philip-m-fearnside" TargetMode="External"/><Relationship Id="rId13" Type="http://schemas.openxmlformats.org/officeDocument/2006/relationships/hyperlink" Target="https://www.portaldoholanda.com.br/brasil/presidente-da-petrobras-volta-defender-projeto-na-foz-do-amazona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ure.com/articles/s41467-024-46340-6" TargetMode="External"/><Relationship Id="rId12" Type="http://schemas.openxmlformats.org/officeDocument/2006/relationships/hyperlink" Target="https://br.investing.com/news/stock-market-news/prates-faz-nova-defesa-de-projeto-na-foz-do-amazonas-1221720" TargetMode="External"/><Relationship Id="rId17" Type="http://schemas.openxmlformats.org/officeDocument/2006/relationships/hyperlink" Target="https://www.ihu.unisinos.br/637656-para-conter-aquecimento-global-petroleo-na-foz-do-amazonas-nao-pode-ser-explorado-mostra-estudo?utm_campaign=newsletter_ihu__21-03-2024&amp;utm_medium=email&amp;utm_source=RD+Station" TargetMode="External"/><Relationship Id="rId2" Type="http://schemas.openxmlformats.org/officeDocument/2006/relationships/settings" Target="settings.xml"/><Relationship Id="rId16" Type="http://schemas.openxmlformats.org/officeDocument/2006/relationships/hyperlink" Target="https://www.ihu.unisinos.br/categorias/634338-prejuizo-climatico-gerado-por-petrobras-e-outras-24-petroleiras-soma-us-20-trilhoes" TargetMode="External"/><Relationship Id="rId1" Type="http://schemas.openxmlformats.org/officeDocument/2006/relationships/styles" Target="styles.xml"/><Relationship Id="rId6" Type="http://schemas.openxmlformats.org/officeDocument/2006/relationships/hyperlink" Target="https://www.ihu.unisinos.br/categorias/626126-por-que-nao-explorar-petroleo-na-foz-do-amazonas" TargetMode="External"/><Relationship Id="rId11" Type="http://schemas.openxmlformats.org/officeDocument/2006/relationships/hyperlink" Target="https://www.ihu.unisinos.br/categorias/632990-explorar-petroleo-na-foz-do-amazonas-ainda-e-prioridade-da-petrobras-diz-prates" TargetMode="External"/><Relationship Id="rId5" Type="http://schemas.openxmlformats.org/officeDocument/2006/relationships/hyperlink" Target="https://www.ihu.unisinos.br/categorias/631896-exxon-projeta-aquecimento-acima-de-2-c-ate-2050-com-petroleo-atendendo-mais-de-50-da-demanda-por-energia" TargetMode="External"/><Relationship Id="rId15" Type="http://schemas.openxmlformats.org/officeDocument/2006/relationships/hyperlink" Target="https://www.reuters.com/sustainability/sustainable-finance-reporting/fossil-fuel-sector-should-pay-climate-finance-eu-ministers-say-2024-03-18/" TargetMode="External"/><Relationship Id="rId10" Type="http://schemas.openxmlformats.org/officeDocument/2006/relationships/hyperlink" Target="https://www.ihu.unisinos.br/categorias/634535-unidades-de-conservacao-estocam-28-anos-de-emissoes-nacionais-de-dioxido-de-carbono" TargetMode="External"/><Relationship Id="rId19" Type="http://schemas.openxmlformats.org/officeDocument/2006/relationships/theme" Target="theme/theme1.xml"/><Relationship Id="rId4" Type="http://schemas.openxmlformats.org/officeDocument/2006/relationships/hyperlink" Target="https://www.ihu.unisinos.br/621860-o-fracasso-do-acordo-de-paris-causas-%20%20e-alternativas" TargetMode="External"/><Relationship Id="rId9" Type="http://schemas.openxmlformats.org/officeDocument/2006/relationships/hyperlink" Target="https://www.ihu.unisinos.br/categorias/635955-82-das-especies-de-arvores-da-mata-atlantica-estao-ameacadas-de-extincao" TargetMode="External"/><Relationship Id="rId14" Type="http://schemas.openxmlformats.org/officeDocument/2006/relationships/hyperlink" Target="https://www.ihu.unisinos.br/categorias/635104-deja-vu-cop29-acontecera-no-azerbaijao-berco-da-industria-moderna-dos-combustiveis-fosse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1201</Words>
  <Characters>6611</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2024-03-21T15:14:00Z</dcterms:created>
  <dcterms:modified xsi:type="dcterms:W3CDTF">2024-03-21T15:17:00Z</dcterms:modified>
</cp:coreProperties>
</file>