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30BEC" w14:textId="77777777" w:rsidR="000735FA" w:rsidRDefault="000735FA" w:rsidP="000735FA">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r w:rsidRPr="000735FA">
        <w:rPr>
          <w:rFonts w:ascii="Open Sans" w:eastAsia="Times New Roman" w:hAnsi="Open Sans" w:cs="Open Sans"/>
          <w:b/>
          <w:bCs/>
          <w:i/>
          <w:iCs/>
          <w:color w:val="D49400"/>
          <w:kern w:val="36"/>
          <w:sz w:val="21"/>
          <w:szCs w:val="21"/>
          <w:lang w:eastAsia="es-UY"/>
          <w14:ligatures w14:val="none"/>
        </w:rPr>
        <w:t xml:space="preserve">Las claves del </w:t>
      </w:r>
      <w:proofErr w:type="spellStart"/>
      <w:r w:rsidRPr="000735FA">
        <w:rPr>
          <w:rFonts w:ascii="Open Sans" w:eastAsia="Times New Roman" w:hAnsi="Open Sans" w:cs="Open Sans"/>
          <w:b/>
          <w:bCs/>
          <w:i/>
          <w:iCs/>
          <w:color w:val="D49400"/>
          <w:kern w:val="36"/>
          <w:sz w:val="21"/>
          <w:szCs w:val="21"/>
          <w:lang w:eastAsia="es-UY"/>
          <w14:ligatures w14:val="none"/>
        </w:rPr>
        <w:t>Instrumentum</w:t>
      </w:r>
      <w:proofErr w:type="spellEnd"/>
      <w:r w:rsidRPr="000735FA">
        <w:rPr>
          <w:rFonts w:ascii="Open Sans" w:eastAsia="Times New Roman" w:hAnsi="Open Sans" w:cs="Open Sans"/>
          <w:b/>
          <w:bCs/>
          <w:i/>
          <w:iCs/>
          <w:color w:val="D49400"/>
          <w:kern w:val="36"/>
          <w:sz w:val="21"/>
          <w:szCs w:val="21"/>
          <w:lang w:eastAsia="es-UY"/>
          <w14:ligatures w14:val="none"/>
        </w:rPr>
        <w:t xml:space="preserve"> </w:t>
      </w:r>
      <w:proofErr w:type="spellStart"/>
      <w:r w:rsidRPr="000735FA">
        <w:rPr>
          <w:rFonts w:ascii="Open Sans" w:eastAsia="Times New Roman" w:hAnsi="Open Sans" w:cs="Open Sans"/>
          <w:b/>
          <w:bCs/>
          <w:i/>
          <w:iCs/>
          <w:color w:val="D49400"/>
          <w:kern w:val="36"/>
          <w:sz w:val="21"/>
          <w:szCs w:val="21"/>
          <w:lang w:eastAsia="es-UY"/>
          <w14:ligatures w14:val="none"/>
        </w:rPr>
        <w:t>Laboris</w:t>
      </w:r>
      <w:proofErr w:type="spellEnd"/>
      <w:r w:rsidRPr="000735FA">
        <w:rPr>
          <w:rFonts w:ascii="Open Sans" w:eastAsia="Times New Roman" w:hAnsi="Open Sans" w:cs="Open Sans"/>
          <w:b/>
          <w:bCs/>
          <w:i/>
          <w:iCs/>
          <w:color w:val="D49400"/>
          <w:kern w:val="36"/>
          <w:sz w:val="21"/>
          <w:szCs w:val="21"/>
          <w:lang w:eastAsia="es-UY"/>
          <w14:ligatures w14:val="none"/>
        </w:rPr>
        <w:t xml:space="preserve"> del Sínodo de la Sinodalidad</w:t>
      </w:r>
    </w:p>
    <w:p w14:paraId="7913C1F6" w14:textId="39F6A55F" w:rsidR="000735FA" w:rsidRPr="000735FA" w:rsidRDefault="000735FA" w:rsidP="000735FA">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0735FA">
        <w:rPr>
          <w:rFonts w:ascii="Open Sans" w:eastAsia="Times New Roman" w:hAnsi="Open Sans" w:cs="Open Sans"/>
          <w:b/>
          <w:bCs/>
          <w:color w:val="333333"/>
          <w:kern w:val="36"/>
          <w:sz w:val="38"/>
          <w:szCs w:val="38"/>
          <w:lang w:eastAsia="es-UY"/>
          <w14:ligatures w14:val="none"/>
        </w:rPr>
        <w:t>El Sínodo discernirá sobre el celibato opcional, el diaconado de la mujer y la acogida de divorciados y LGTBQ+</w:t>
      </w:r>
    </w:p>
    <w:p w14:paraId="0604F09C" w14:textId="77777777" w:rsidR="000735FA" w:rsidRPr="000735FA" w:rsidRDefault="000735FA" w:rsidP="000735FA">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0735FA">
        <w:rPr>
          <w:rFonts w:ascii="Open Sans" w:eastAsia="Times New Roman" w:hAnsi="Open Sans" w:cs="Open Sans"/>
          <w:noProof/>
          <w:color w:val="000000"/>
          <w:kern w:val="0"/>
          <w:sz w:val="21"/>
          <w:szCs w:val="21"/>
          <w:lang w:eastAsia="es-UY"/>
          <w14:ligatures w14:val="none"/>
        </w:rPr>
        <w:drawing>
          <wp:inline distT="0" distB="0" distL="0" distR="0" wp14:anchorId="6E945494" wp14:editId="3ED62FDA">
            <wp:extent cx="5321300" cy="2988528"/>
            <wp:effectExtent l="0" t="0" r="0" b="2540"/>
            <wp:docPr id="1" name="Imagen 10" descr="Instrumentum Laboris d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um Laboris del Sínodo de la Sinodalid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7807" cy="2992182"/>
                    </a:xfrm>
                    <a:prstGeom prst="rect">
                      <a:avLst/>
                    </a:prstGeom>
                    <a:noFill/>
                    <a:ln>
                      <a:noFill/>
                    </a:ln>
                  </pic:spPr>
                </pic:pic>
              </a:graphicData>
            </a:graphic>
          </wp:inline>
        </w:drawing>
      </w:r>
    </w:p>
    <w:p w14:paraId="068F3611" w14:textId="77777777" w:rsidR="000735FA" w:rsidRPr="000735FA" w:rsidRDefault="000735FA" w:rsidP="000735FA">
      <w:pPr>
        <w:shd w:val="clear" w:color="auto" w:fill="FFFFFF"/>
        <w:spacing w:line="240" w:lineRule="auto"/>
        <w:rPr>
          <w:rFonts w:ascii="Open Sans" w:eastAsia="Times New Roman" w:hAnsi="Open Sans" w:cs="Open Sans"/>
          <w:color w:val="000000"/>
          <w:kern w:val="0"/>
          <w:sz w:val="21"/>
          <w:szCs w:val="21"/>
          <w:lang w:eastAsia="es-UY"/>
          <w14:ligatures w14:val="none"/>
        </w:rPr>
      </w:pPr>
      <w:proofErr w:type="spellStart"/>
      <w:r w:rsidRPr="000735FA">
        <w:rPr>
          <w:rFonts w:ascii="Open Sans" w:eastAsia="Times New Roman" w:hAnsi="Open Sans" w:cs="Open Sans"/>
          <w:color w:val="000000"/>
          <w:kern w:val="0"/>
          <w:sz w:val="21"/>
          <w:szCs w:val="21"/>
          <w:lang w:eastAsia="es-UY"/>
          <w14:ligatures w14:val="none"/>
        </w:rPr>
        <w:t>Instrumentum</w:t>
      </w:r>
      <w:proofErr w:type="spellEnd"/>
      <w:r w:rsidRPr="000735FA">
        <w:rPr>
          <w:rFonts w:ascii="Open Sans" w:eastAsia="Times New Roman" w:hAnsi="Open Sans" w:cs="Open Sans"/>
          <w:color w:val="000000"/>
          <w:kern w:val="0"/>
          <w:sz w:val="21"/>
          <w:szCs w:val="21"/>
          <w:lang w:eastAsia="es-UY"/>
          <w14:ligatures w14:val="none"/>
        </w:rPr>
        <w:t xml:space="preserve"> </w:t>
      </w:r>
      <w:proofErr w:type="spellStart"/>
      <w:r w:rsidRPr="000735FA">
        <w:rPr>
          <w:rFonts w:ascii="Open Sans" w:eastAsia="Times New Roman" w:hAnsi="Open Sans" w:cs="Open Sans"/>
          <w:color w:val="000000"/>
          <w:kern w:val="0"/>
          <w:sz w:val="21"/>
          <w:szCs w:val="21"/>
          <w:lang w:eastAsia="es-UY"/>
          <w14:ligatures w14:val="none"/>
        </w:rPr>
        <w:t>Laboris</w:t>
      </w:r>
      <w:proofErr w:type="spellEnd"/>
      <w:r w:rsidRPr="000735FA">
        <w:rPr>
          <w:rFonts w:ascii="Open Sans" w:eastAsia="Times New Roman" w:hAnsi="Open Sans" w:cs="Open Sans"/>
          <w:color w:val="000000"/>
          <w:kern w:val="0"/>
          <w:sz w:val="21"/>
          <w:szCs w:val="21"/>
          <w:lang w:eastAsia="es-UY"/>
          <w14:ligatures w14:val="none"/>
        </w:rPr>
        <w:t xml:space="preserve"> del Sínodo de la Sinodalidad </w:t>
      </w:r>
      <w:r w:rsidRPr="000735FA">
        <w:rPr>
          <w:rFonts w:ascii="Open Sans" w:eastAsia="Times New Roman" w:hAnsi="Open Sans" w:cs="Open Sans"/>
          <w:color w:val="8C8C8C"/>
          <w:kern w:val="0"/>
          <w:sz w:val="21"/>
          <w:szCs w:val="21"/>
          <w:lang w:eastAsia="es-UY"/>
          <w14:ligatures w14:val="none"/>
        </w:rPr>
        <w:t>RD/Aras</w:t>
      </w:r>
    </w:p>
    <w:p w14:paraId="03B352CB" w14:textId="77777777" w:rsidR="000735FA" w:rsidRPr="000735FA" w:rsidRDefault="000735FA" w:rsidP="000735FA">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 xml:space="preserve">“A la luz de la Exhortación apostólica postsinodal </w:t>
      </w:r>
      <w:proofErr w:type="spellStart"/>
      <w:r w:rsidRPr="000735FA">
        <w:rPr>
          <w:rFonts w:ascii="Montserrat" w:eastAsia="Times New Roman" w:hAnsi="Montserrat" w:cs="Open Sans"/>
          <w:b/>
          <w:bCs/>
          <w:color w:val="474747"/>
          <w:kern w:val="0"/>
          <w:sz w:val="26"/>
          <w:szCs w:val="26"/>
          <w:lang w:eastAsia="es-UY"/>
          <w14:ligatures w14:val="none"/>
        </w:rPr>
        <w:t>Amoris</w:t>
      </w:r>
      <w:proofErr w:type="spellEnd"/>
      <w:r w:rsidRPr="000735FA">
        <w:rPr>
          <w:rFonts w:ascii="Montserrat" w:eastAsia="Times New Roman" w:hAnsi="Montserrat" w:cs="Open Sans"/>
          <w:b/>
          <w:bCs/>
          <w:color w:val="474747"/>
          <w:kern w:val="0"/>
          <w:sz w:val="26"/>
          <w:szCs w:val="26"/>
          <w:lang w:eastAsia="es-UY"/>
          <w14:ligatures w14:val="none"/>
        </w:rPr>
        <w:t xml:space="preserve"> </w:t>
      </w:r>
      <w:proofErr w:type="spellStart"/>
      <w:r w:rsidRPr="000735FA">
        <w:rPr>
          <w:rFonts w:ascii="Montserrat" w:eastAsia="Times New Roman" w:hAnsi="Montserrat" w:cs="Open Sans"/>
          <w:b/>
          <w:bCs/>
          <w:color w:val="474747"/>
          <w:kern w:val="0"/>
          <w:sz w:val="26"/>
          <w:szCs w:val="26"/>
          <w:lang w:eastAsia="es-UY"/>
          <w14:ligatures w14:val="none"/>
        </w:rPr>
        <w:t>laetitia</w:t>
      </w:r>
      <w:proofErr w:type="spellEnd"/>
      <w:r w:rsidRPr="000735FA">
        <w:rPr>
          <w:rFonts w:ascii="Montserrat" w:eastAsia="Times New Roman" w:hAnsi="Montserrat" w:cs="Open Sans"/>
          <w:b/>
          <w:bCs/>
          <w:color w:val="474747"/>
          <w:kern w:val="0"/>
          <w:sz w:val="26"/>
          <w:szCs w:val="26"/>
          <w:lang w:eastAsia="es-UY"/>
          <w14:ligatures w14:val="none"/>
        </w:rPr>
        <w:t>, ¿qué medidas concretas son necesarias para llegar a las personas que se sienten excluidas de la Iglesia a causa de su afectividad y sexualidad (por ejemplo, divorciados vueltos a casar, personas en matrimonios polígamos, personas LGBTQ+, etc.)?”</w:t>
      </w:r>
    </w:p>
    <w:p w14:paraId="117BEB06" w14:textId="77777777" w:rsidR="000735FA" w:rsidRPr="000735FA" w:rsidRDefault="000735FA" w:rsidP="000735FA">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“¿Cómo debe evolucionar el papel del Obispo de Roma y el ejercicio del primado en una Iglesia sinodal?"</w:t>
      </w:r>
    </w:p>
    <w:p w14:paraId="59F3FE46" w14:textId="77777777" w:rsidR="000735FA" w:rsidRPr="000735FA" w:rsidRDefault="000735FA" w:rsidP="000735FA">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"¿Cómo podemos seguir dando pasos concretos para ofrecer justicia a las víctimas y supervivientes de abusos sexuales, espirituales, económicos, de poder y de conciencia por parte de personas que estaban desempeñando un ministerio o una misión eclesial?”</w:t>
      </w:r>
    </w:p>
    <w:p w14:paraId="006EAD02" w14:textId="77777777" w:rsidR="000735FA" w:rsidRPr="000735FA" w:rsidRDefault="000735FA" w:rsidP="000735FA">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hyperlink r:id="rId6" w:history="1">
        <w:r w:rsidRPr="000735FA">
          <w:rPr>
            <w:rFonts w:ascii="Montserrat" w:eastAsia="Times New Roman" w:hAnsi="Montserrat" w:cs="Open Sans"/>
            <w:b/>
            <w:bCs/>
            <w:color w:val="D49400"/>
            <w:kern w:val="0"/>
            <w:sz w:val="26"/>
            <w:szCs w:val="26"/>
            <w:lang w:eastAsia="es-UY"/>
            <w14:ligatures w14:val="none"/>
          </w:rPr>
          <w:t xml:space="preserve">Lee aquí el </w:t>
        </w:r>
        <w:proofErr w:type="spellStart"/>
        <w:r w:rsidRPr="000735FA">
          <w:rPr>
            <w:rFonts w:ascii="Montserrat" w:eastAsia="Times New Roman" w:hAnsi="Montserrat" w:cs="Open Sans"/>
            <w:b/>
            <w:bCs/>
            <w:color w:val="D49400"/>
            <w:kern w:val="0"/>
            <w:sz w:val="26"/>
            <w:szCs w:val="26"/>
            <w:lang w:eastAsia="es-UY"/>
            <w14:ligatures w14:val="none"/>
          </w:rPr>
          <w:t>Instrumentum</w:t>
        </w:r>
        <w:proofErr w:type="spellEnd"/>
        <w:r w:rsidRPr="000735FA">
          <w:rPr>
            <w:rFonts w:ascii="Montserrat" w:eastAsia="Times New Roman" w:hAnsi="Montserrat" w:cs="Open Sans"/>
            <w:b/>
            <w:bCs/>
            <w:color w:val="D49400"/>
            <w:kern w:val="0"/>
            <w:sz w:val="26"/>
            <w:szCs w:val="26"/>
            <w:lang w:eastAsia="es-UY"/>
            <w14:ligatures w14:val="none"/>
          </w:rPr>
          <w:t xml:space="preserve"> </w:t>
        </w:r>
        <w:proofErr w:type="spellStart"/>
        <w:r w:rsidRPr="000735FA">
          <w:rPr>
            <w:rFonts w:ascii="Montserrat" w:eastAsia="Times New Roman" w:hAnsi="Montserrat" w:cs="Open Sans"/>
            <w:b/>
            <w:bCs/>
            <w:color w:val="D49400"/>
            <w:kern w:val="0"/>
            <w:sz w:val="26"/>
            <w:szCs w:val="26"/>
            <w:lang w:eastAsia="es-UY"/>
            <w14:ligatures w14:val="none"/>
          </w:rPr>
          <w:t>Laboris</w:t>
        </w:r>
        <w:proofErr w:type="spellEnd"/>
        <w:r w:rsidRPr="000735FA">
          <w:rPr>
            <w:rFonts w:ascii="Montserrat" w:eastAsia="Times New Roman" w:hAnsi="Montserrat" w:cs="Open Sans"/>
            <w:b/>
            <w:bCs/>
            <w:color w:val="D49400"/>
            <w:kern w:val="0"/>
            <w:sz w:val="26"/>
            <w:szCs w:val="26"/>
            <w:lang w:eastAsia="es-UY"/>
            <w14:ligatures w14:val="none"/>
          </w:rPr>
          <w:t xml:space="preserve"> del Sínodo</w:t>
        </w:r>
      </w:hyperlink>
    </w:p>
    <w:p w14:paraId="30EFD695" w14:textId="77777777" w:rsidR="000735FA" w:rsidRPr="000735FA" w:rsidRDefault="000735FA" w:rsidP="000735FA">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0735FA">
        <w:rPr>
          <w:rFonts w:ascii="inherit" w:eastAsia="Times New Roman" w:hAnsi="inherit" w:cs="Open Sans"/>
          <w:b/>
          <w:bCs/>
          <w:i/>
          <w:iCs/>
          <w:color w:val="333333"/>
          <w:kern w:val="0"/>
          <w:sz w:val="20"/>
          <w:szCs w:val="20"/>
          <w:lang w:eastAsia="es-UY"/>
          <w14:ligatures w14:val="none"/>
        </w:rPr>
        <w:t>20.06.2023 </w:t>
      </w:r>
      <w:hyperlink r:id="rId7" w:history="1">
        <w:r w:rsidRPr="000735FA">
          <w:rPr>
            <w:rFonts w:ascii="inherit" w:eastAsia="Times New Roman" w:hAnsi="inherit" w:cs="Open Sans"/>
            <w:b/>
            <w:bCs/>
            <w:i/>
            <w:iCs/>
            <w:color w:val="D49400"/>
            <w:kern w:val="0"/>
            <w:sz w:val="20"/>
            <w:szCs w:val="20"/>
            <w:lang w:eastAsia="es-UY"/>
            <w14:ligatures w14:val="none"/>
          </w:rPr>
          <w:t>Jesús Bastante</w:t>
        </w:r>
      </w:hyperlink>
    </w:p>
    <w:p w14:paraId="7C07D616"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b/>
          <w:bCs/>
          <w:color w:val="474747"/>
          <w:kern w:val="0"/>
          <w:sz w:val="21"/>
          <w:szCs w:val="21"/>
          <w:lang w:eastAsia="es-UY"/>
          <w14:ligatures w14:val="none"/>
        </w:rPr>
        <w:t>Un documento plagado de preguntas, algunas de ellas verdaderamente revolucionarias</w:t>
      </w:r>
      <w:r w:rsidRPr="000735FA">
        <w:rPr>
          <w:rFonts w:ascii="Open Sans" w:eastAsia="Times New Roman" w:hAnsi="Open Sans" w:cs="Open Sans"/>
          <w:color w:val="333333"/>
          <w:kern w:val="0"/>
          <w:sz w:val="21"/>
          <w:szCs w:val="21"/>
          <w:lang w:eastAsia="es-UY"/>
          <w14:ligatures w14:val="none"/>
        </w:rPr>
        <w:t xml:space="preserve">, y que ponen a la Iglesia (al Sínodo de obispos, que por primera vez contará con sacerdotes, religiosas y </w:t>
      </w:r>
      <w:proofErr w:type="spellStart"/>
      <w:r w:rsidRPr="000735FA">
        <w:rPr>
          <w:rFonts w:ascii="Open Sans" w:eastAsia="Times New Roman" w:hAnsi="Open Sans" w:cs="Open Sans"/>
          <w:color w:val="333333"/>
          <w:kern w:val="0"/>
          <w:sz w:val="21"/>
          <w:szCs w:val="21"/>
          <w:lang w:eastAsia="es-UY"/>
          <w14:ligatures w14:val="none"/>
        </w:rPr>
        <w:t>laic@s</w:t>
      </w:r>
      <w:proofErr w:type="spellEnd"/>
      <w:r w:rsidRPr="000735FA">
        <w:rPr>
          <w:rFonts w:ascii="Open Sans" w:eastAsia="Times New Roman" w:hAnsi="Open Sans" w:cs="Open Sans"/>
          <w:color w:val="333333"/>
          <w:kern w:val="0"/>
          <w:sz w:val="21"/>
          <w:szCs w:val="21"/>
          <w:lang w:eastAsia="es-UY"/>
          <w14:ligatures w14:val="none"/>
        </w:rPr>
        <w:t xml:space="preserve"> con derecho a voto) ante el reto definitivo </w:t>
      </w:r>
      <w:r w:rsidRPr="000735FA">
        <w:rPr>
          <w:rFonts w:ascii="Open Sans" w:eastAsia="Times New Roman" w:hAnsi="Open Sans" w:cs="Open Sans"/>
          <w:color w:val="333333"/>
          <w:kern w:val="0"/>
          <w:sz w:val="21"/>
          <w:szCs w:val="21"/>
          <w:lang w:eastAsia="es-UY"/>
          <w14:ligatures w14:val="none"/>
        </w:rPr>
        <w:lastRenderedPageBreak/>
        <w:t>de dar un paso adelante o guarecerse en falsas seguridades. Así es el </w:t>
      </w:r>
      <w:hyperlink r:id="rId8" w:history="1">
        <w:r w:rsidRPr="000735FA">
          <w:rPr>
            <w:rFonts w:ascii="Open Sans" w:eastAsia="Times New Roman" w:hAnsi="Open Sans" w:cs="Open Sans"/>
            <w:color w:val="D49400"/>
            <w:kern w:val="0"/>
            <w:sz w:val="21"/>
            <w:szCs w:val="21"/>
            <w:lang w:eastAsia="es-UY"/>
            <w14:ligatures w14:val="none"/>
          </w:rPr>
          <w:t>‘</w:t>
        </w:r>
        <w:proofErr w:type="spellStart"/>
        <w:r w:rsidRPr="000735FA">
          <w:rPr>
            <w:rFonts w:ascii="Open Sans" w:eastAsia="Times New Roman" w:hAnsi="Open Sans" w:cs="Open Sans"/>
            <w:color w:val="D49400"/>
            <w:kern w:val="0"/>
            <w:sz w:val="21"/>
            <w:szCs w:val="21"/>
            <w:lang w:eastAsia="es-UY"/>
            <w14:ligatures w14:val="none"/>
          </w:rPr>
          <w:t>Instrumentum</w:t>
        </w:r>
        <w:proofErr w:type="spellEnd"/>
        <w:r w:rsidRPr="000735FA">
          <w:rPr>
            <w:rFonts w:ascii="Open Sans" w:eastAsia="Times New Roman" w:hAnsi="Open Sans" w:cs="Open Sans"/>
            <w:color w:val="D49400"/>
            <w:kern w:val="0"/>
            <w:sz w:val="21"/>
            <w:szCs w:val="21"/>
            <w:lang w:eastAsia="es-UY"/>
            <w14:ligatures w14:val="none"/>
          </w:rPr>
          <w:t xml:space="preserve"> </w:t>
        </w:r>
        <w:proofErr w:type="spellStart"/>
        <w:r w:rsidRPr="000735FA">
          <w:rPr>
            <w:rFonts w:ascii="Open Sans" w:eastAsia="Times New Roman" w:hAnsi="Open Sans" w:cs="Open Sans"/>
            <w:color w:val="D49400"/>
            <w:kern w:val="0"/>
            <w:sz w:val="21"/>
            <w:szCs w:val="21"/>
            <w:lang w:eastAsia="es-UY"/>
            <w14:ligatures w14:val="none"/>
          </w:rPr>
          <w:t>Laboris</w:t>
        </w:r>
        <w:proofErr w:type="spellEnd"/>
        <w:r w:rsidRPr="000735FA">
          <w:rPr>
            <w:rFonts w:ascii="Open Sans" w:eastAsia="Times New Roman" w:hAnsi="Open Sans" w:cs="Open Sans"/>
            <w:color w:val="D49400"/>
            <w:kern w:val="0"/>
            <w:sz w:val="21"/>
            <w:szCs w:val="21"/>
            <w:lang w:eastAsia="es-UY"/>
            <w14:ligatures w14:val="none"/>
          </w:rPr>
          <w:t>’ del Sínodo de la Sinodalidad</w:t>
        </w:r>
      </w:hyperlink>
      <w:r w:rsidRPr="000735FA">
        <w:rPr>
          <w:rFonts w:ascii="Open Sans" w:eastAsia="Times New Roman" w:hAnsi="Open Sans" w:cs="Open Sans"/>
          <w:color w:val="333333"/>
          <w:kern w:val="0"/>
          <w:sz w:val="21"/>
          <w:szCs w:val="21"/>
          <w:lang w:eastAsia="es-UY"/>
          <w14:ligatures w14:val="none"/>
        </w:rPr>
        <w:t>, que arrancará en otoño en su fase universal, y que, entre otras cuestiones, pregunta claramente sobre el </w:t>
      </w:r>
      <w:r w:rsidRPr="000735FA">
        <w:rPr>
          <w:rFonts w:ascii="Open Sans" w:eastAsia="Times New Roman" w:hAnsi="Open Sans" w:cs="Open Sans"/>
          <w:b/>
          <w:bCs/>
          <w:color w:val="474747"/>
          <w:kern w:val="0"/>
          <w:sz w:val="21"/>
          <w:szCs w:val="21"/>
          <w:lang w:eastAsia="es-UY"/>
          <w14:ligatures w14:val="none"/>
        </w:rPr>
        <w:t>celibato opcional, el acceso de la mujer al diaconado, la acogida de divorciados o el colectivo LGTBQ+ en la Iglesia</w:t>
      </w:r>
      <w:r w:rsidRPr="000735FA">
        <w:rPr>
          <w:rFonts w:ascii="Open Sans" w:eastAsia="Times New Roman" w:hAnsi="Open Sans" w:cs="Open Sans"/>
          <w:color w:val="333333"/>
          <w:kern w:val="0"/>
          <w:sz w:val="21"/>
          <w:szCs w:val="21"/>
          <w:lang w:eastAsia="es-UY"/>
          <w14:ligatures w14:val="none"/>
        </w:rPr>
        <w:t>, cambios profundos en la estructura institucional de la Iglesia, el papel del primado de Pedro, cómo aprender de otras comunidades cristianas e, incluso, la creación de un ministerio específico para el cuidado de los descartados.</w:t>
      </w:r>
    </w:p>
    <w:p w14:paraId="53AD0C08" w14:textId="77777777" w:rsidR="000735FA" w:rsidRPr="000735FA" w:rsidRDefault="000735FA" w:rsidP="000735FA">
      <w:pPr>
        <w:shd w:val="clear" w:color="auto" w:fill="F4EFEF"/>
        <w:spacing w:after="0" w:line="480" w:lineRule="auto"/>
        <w:jc w:val="center"/>
        <w:rPr>
          <w:rFonts w:ascii="Open Sans" w:eastAsia="Times New Roman" w:hAnsi="Open Sans" w:cs="Open Sans"/>
          <w:color w:val="000000"/>
          <w:kern w:val="0"/>
          <w:sz w:val="27"/>
          <w:szCs w:val="27"/>
          <w:lang w:eastAsia="es-UY"/>
          <w14:ligatures w14:val="none"/>
        </w:rPr>
      </w:pPr>
      <w:hyperlink r:id="rId9" w:tgtFrame="_blank" w:history="1">
        <w:r w:rsidRPr="000735FA">
          <w:rPr>
            <w:rFonts w:ascii="Open Sans" w:eastAsia="Times New Roman" w:hAnsi="Open Sans" w:cs="Open Sans"/>
            <w:color w:val="D49400"/>
            <w:kern w:val="0"/>
            <w:sz w:val="21"/>
            <w:szCs w:val="21"/>
            <w:lang w:eastAsia="es-UY"/>
            <w14:ligatures w14:val="none"/>
          </w:rPr>
          <w:t>APÚNTATE A LA NEWSLETTER RD</w:t>
        </w:r>
      </w:hyperlink>
    </w:p>
    <w:p w14:paraId="30B35EB5"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 xml:space="preserve">“A la luz de la Exhortación apostólica postsinodal </w:t>
      </w:r>
      <w:proofErr w:type="spellStart"/>
      <w:r w:rsidRPr="000735FA">
        <w:rPr>
          <w:rFonts w:ascii="Open Sans" w:eastAsia="Times New Roman" w:hAnsi="Open Sans" w:cs="Open Sans"/>
          <w:color w:val="333333"/>
          <w:kern w:val="0"/>
          <w:sz w:val="21"/>
          <w:szCs w:val="21"/>
          <w:lang w:eastAsia="es-UY"/>
          <w14:ligatures w14:val="none"/>
        </w:rPr>
        <w:t>Amoris</w:t>
      </w:r>
      <w:proofErr w:type="spellEnd"/>
      <w:r w:rsidRPr="000735FA">
        <w:rPr>
          <w:rFonts w:ascii="Open Sans" w:eastAsia="Times New Roman" w:hAnsi="Open Sans" w:cs="Open Sans"/>
          <w:color w:val="333333"/>
          <w:kern w:val="0"/>
          <w:sz w:val="21"/>
          <w:szCs w:val="21"/>
          <w:lang w:eastAsia="es-UY"/>
          <w14:ligatures w14:val="none"/>
        </w:rPr>
        <w:t xml:space="preserve"> </w:t>
      </w:r>
      <w:proofErr w:type="spellStart"/>
      <w:r w:rsidRPr="000735FA">
        <w:rPr>
          <w:rFonts w:ascii="Open Sans" w:eastAsia="Times New Roman" w:hAnsi="Open Sans" w:cs="Open Sans"/>
          <w:color w:val="333333"/>
          <w:kern w:val="0"/>
          <w:sz w:val="21"/>
          <w:szCs w:val="21"/>
          <w:lang w:eastAsia="es-UY"/>
          <w14:ligatures w14:val="none"/>
        </w:rPr>
        <w:t>laetitia</w:t>
      </w:r>
      <w:proofErr w:type="spellEnd"/>
      <w:r w:rsidRPr="000735FA">
        <w:rPr>
          <w:rFonts w:ascii="Open Sans" w:eastAsia="Times New Roman" w:hAnsi="Open Sans" w:cs="Open Sans"/>
          <w:color w:val="333333"/>
          <w:kern w:val="0"/>
          <w:sz w:val="21"/>
          <w:szCs w:val="21"/>
          <w:lang w:eastAsia="es-UY"/>
          <w14:ligatures w14:val="none"/>
        </w:rPr>
        <w:t>, ¿qué medidas concretas son necesarias para llegar a las personas que se sienten excluidas de la Iglesia a causa de su afectividad y sexualidad (por ejemplo, divorciados vueltos a casar, personas en matrimonios polígamos, personas LGBTQ+, etc.)?”, es una de las cuestiones que se plantean en el </w:t>
      </w:r>
      <w:r w:rsidRPr="000735FA">
        <w:rPr>
          <w:rFonts w:ascii="Open Sans" w:eastAsia="Times New Roman" w:hAnsi="Open Sans" w:cs="Open Sans"/>
          <w:b/>
          <w:bCs/>
          <w:color w:val="474747"/>
          <w:kern w:val="0"/>
          <w:sz w:val="21"/>
          <w:szCs w:val="21"/>
          <w:lang w:eastAsia="es-UY"/>
          <w14:ligatures w14:val="none"/>
        </w:rPr>
        <w:t>documento, de 49 páginas en su traducción en castellano y dividido en tres partes</w:t>
      </w:r>
      <w:r w:rsidRPr="000735FA">
        <w:rPr>
          <w:rFonts w:ascii="Open Sans" w:eastAsia="Times New Roman" w:hAnsi="Open Sans" w:cs="Open Sans"/>
          <w:color w:val="333333"/>
          <w:kern w:val="0"/>
          <w:sz w:val="21"/>
          <w:szCs w:val="21"/>
          <w:lang w:eastAsia="es-UY"/>
          <w14:ligatures w14:val="none"/>
        </w:rPr>
        <w:t> (una larga introducción-resumen, los temas prioritarios y la fichas de trabajo), que dice mucho más en las preguntas que en los planteamientos. Y es que, en este momento eclesial, importan más las respuestas que los diagnósticos. Y "discernir", que es la palabra clave para entender todo el proceso que ha llevado hasta aquí. Y un propósito: alcanzar </w:t>
      </w:r>
      <w:r w:rsidRPr="000735FA">
        <w:rPr>
          <w:rFonts w:ascii="Open Sans" w:eastAsia="Times New Roman" w:hAnsi="Open Sans" w:cs="Open Sans"/>
          <w:b/>
          <w:bCs/>
          <w:color w:val="474747"/>
          <w:kern w:val="0"/>
          <w:sz w:val="21"/>
          <w:szCs w:val="21"/>
          <w:lang w:eastAsia="es-UY"/>
          <w14:ligatures w14:val="none"/>
        </w:rPr>
        <w:t>"una Iglesia sinodal promueve el paso del «yo» al «nosotros»</w:t>
      </w:r>
      <w:r w:rsidRPr="000735FA">
        <w:rPr>
          <w:rFonts w:ascii="Open Sans" w:eastAsia="Times New Roman" w:hAnsi="Open Sans" w:cs="Open Sans"/>
          <w:color w:val="333333"/>
          <w:kern w:val="0"/>
          <w:sz w:val="21"/>
          <w:szCs w:val="21"/>
          <w:lang w:eastAsia="es-UY"/>
          <w14:ligatures w14:val="none"/>
        </w:rPr>
        <w:t>".</w:t>
      </w:r>
    </w:p>
    <w:p w14:paraId="6C450A63"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hyperlink r:id="rId10" w:history="1">
        <w:r w:rsidRPr="000735FA">
          <w:rPr>
            <w:rFonts w:ascii="Open Sans" w:eastAsia="Times New Roman" w:hAnsi="Open Sans" w:cs="Open Sans"/>
            <w:color w:val="D49400"/>
            <w:kern w:val="0"/>
            <w:sz w:val="21"/>
            <w:szCs w:val="21"/>
            <w:lang w:eastAsia="es-UY"/>
            <w14:ligatures w14:val="none"/>
          </w:rPr>
          <w:t>LEER MÁS: Todo sobre el Sínodo de la Sinodalidad 2021-2024</w:t>
        </w:r>
      </w:hyperlink>
    </w:p>
    <w:p w14:paraId="2FAC607E" w14:textId="77777777" w:rsidR="000735FA" w:rsidRPr="000735FA" w:rsidRDefault="000735FA" w:rsidP="000735FA">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noProof/>
          <w:color w:val="000000"/>
          <w:kern w:val="0"/>
          <w:sz w:val="21"/>
          <w:szCs w:val="21"/>
          <w:lang w:eastAsia="es-UY"/>
          <w14:ligatures w14:val="none"/>
        </w:rPr>
        <w:drawing>
          <wp:inline distT="0" distB="0" distL="0" distR="0" wp14:anchorId="2FCB0CB9" wp14:editId="410F8C51">
            <wp:extent cx="5041900" cy="2830717"/>
            <wp:effectExtent l="0" t="0" r="6350" b="8255"/>
            <wp:docPr id="2" name="Imagen 9" descr="Divorciados rec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orciados recasad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602" cy="2835603"/>
                    </a:xfrm>
                    <a:prstGeom prst="rect">
                      <a:avLst/>
                    </a:prstGeom>
                    <a:noFill/>
                    <a:ln>
                      <a:noFill/>
                    </a:ln>
                  </pic:spPr>
                </pic:pic>
              </a:graphicData>
            </a:graphic>
          </wp:inline>
        </w:drawing>
      </w:r>
    </w:p>
    <w:p w14:paraId="02FE843D" w14:textId="77777777" w:rsidR="000735FA" w:rsidRPr="000735FA" w:rsidRDefault="000735FA" w:rsidP="000735FA">
      <w:pPr>
        <w:shd w:val="clear" w:color="auto" w:fill="FFFFFF"/>
        <w:spacing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color w:val="000000"/>
          <w:kern w:val="0"/>
          <w:sz w:val="21"/>
          <w:szCs w:val="21"/>
          <w:lang w:eastAsia="es-UY"/>
          <w14:ligatures w14:val="none"/>
        </w:rPr>
        <w:t xml:space="preserve">Divorciados </w:t>
      </w:r>
      <w:proofErr w:type="spellStart"/>
      <w:r w:rsidRPr="000735FA">
        <w:rPr>
          <w:rFonts w:ascii="inherit" w:eastAsia="Times New Roman" w:hAnsi="inherit" w:cs="Open Sans"/>
          <w:color w:val="000000"/>
          <w:kern w:val="0"/>
          <w:sz w:val="21"/>
          <w:szCs w:val="21"/>
          <w:lang w:eastAsia="es-UY"/>
          <w14:ligatures w14:val="none"/>
        </w:rPr>
        <w:t>recasados</w:t>
      </w:r>
      <w:proofErr w:type="spellEnd"/>
    </w:p>
    <w:p w14:paraId="7923D00E"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 xml:space="preserve">"¿Cómo podemos crear espacios en los que aquellos que se sienten heridos por la Iglesia y rechazados por la comunidad puedan sentirse reconocidos, acogidos, no juzgados y libres para hacer preguntas?", añade el </w:t>
      </w:r>
      <w:proofErr w:type="spellStart"/>
      <w:r w:rsidRPr="000735FA">
        <w:rPr>
          <w:rFonts w:ascii="Open Sans" w:eastAsia="Times New Roman" w:hAnsi="Open Sans" w:cs="Open Sans"/>
          <w:color w:val="333333"/>
          <w:kern w:val="0"/>
          <w:sz w:val="21"/>
          <w:szCs w:val="21"/>
          <w:lang w:eastAsia="es-UY"/>
          <w14:ligatures w14:val="none"/>
        </w:rPr>
        <w:t>Instrumentum</w:t>
      </w:r>
      <w:proofErr w:type="spellEnd"/>
      <w:r w:rsidRPr="000735FA">
        <w:rPr>
          <w:rFonts w:ascii="Open Sans" w:eastAsia="Times New Roman" w:hAnsi="Open Sans" w:cs="Open Sans"/>
          <w:color w:val="333333"/>
          <w:kern w:val="0"/>
          <w:sz w:val="21"/>
          <w:szCs w:val="21"/>
          <w:lang w:eastAsia="es-UY"/>
          <w14:ligatures w14:val="none"/>
        </w:rPr>
        <w:t xml:space="preserve"> </w:t>
      </w:r>
      <w:proofErr w:type="spellStart"/>
      <w:r w:rsidRPr="000735FA">
        <w:rPr>
          <w:rFonts w:ascii="Open Sans" w:eastAsia="Times New Roman" w:hAnsi="Open Sans" w:cs="Open Sans"/>
          <w:color w:val="333333"/>
          <w:kern w:val="0"/>
          <w:sz w:val="21"/>
          <w:szCs w:val="21"/>
          <w:lang w:eastAsia="es-UY"/>
          <w14:ligatures w14:val="none"/>
        </w:rPr>
        <w:t>Laboris</w:t>
      </w:r>
      <w:proofErr w:type="spellEnd"/>
      <w:r w:rsidRPr="000735FA">
        <w:rPr>
          <w:rFonts w:ascii="Open Sans" w:eastAsia="Times New Roman" w:hAnsi="Open Sans" w:cs="Open Sans"/>
          <w:color w:val="333333"/>
          <w:kern w:val="0"/>
          <w:sz w:val="21"/>
          <w:szCs w:val="21"/>
          <w:lang w:eastAsia="es-UY"/>
          <w14:ligatures w14:val="none"/>
        </w:rPr>
        <w:t xml:space="preserve"> a la hora de </w:t>
      </w:r>
      <w:r w:rsidRPr="000735FA">
        <w:rPr>
          <w:rFonts w:ascii="Open Sans" w:eastAsia="Times New Roman" w:hAnsi="Open Sans" w:cs="Open Sans"/>
          <w:color w:val="333333"/>
          <w:kern w:val="0"/>
          <w:sz w:val="21"/>
          <w:szCs w:val="21"/>
          <w:lang w:eastAsia="es-UY"/>
          <w14:ligatures w14:val="none"/>
        </w:rPr>
        <w:lastRenderedPageBreak/>
        <w:t xml:space="preserve">hablar de estas realidades, hasta </w:t>
      </w:r>
      <w:proofErr w:type="spellStart"/>
      <w:r w:rsidRPr="000735FA">
        <w:rPr>
          <w:rFonts w:ascii="Open Sans" w:eastAsia="Times New Roman" w:hAnsi="Open Sans" w:cs="Open Sans"/>
          <w:color w:val="333333"/>
          <w:kern w:val="0"/>
          <w:sz w:val="21"/>
          <w:szCs w:val="21"/>
          <w:lang w:eastAsia="es-UY"/>
          <w14:ligatures w14:val="none"/>
        </w:rPr>
        <w:t>Amoris</w:t>
      </w:r>
      <w:proofErr w:type="spellEnd"/>
      <w:r w:rsidRPr="000735FA">
        <w:rPr>
          <w:rFonts w:ascii="Open Sans" w:eastAsia="Times New Roman" w:hAnsi="Open Sans" w:cs="Open Sans"/>
          <w:color w:val="333333"/>
          <w:kern w:val="0"/>
          <w:sz w:val="21"/>
          <w:szCs w:val="21"/>
          <w:lang w:eastAsia="es-UY"/>
          <w14:ligatures w14:val="none"/>
        </w:rPr>
        <w:t xml:space="preserve"> Laetitia condenadas a la oscuridad en la Iglesia.</w:t>
      </w:r>
    </w:p>
    <w:p w14:paraId="6DF19642" w14:textId="77777777" w:rsidR="000735FA" w:rsidRPr="000735FA" w:rsidRDefault="000735FA" w:rsidP="000735FA">
      <w:pPr>
        <w:shd w:val="clear" w:color="auto" w:fill="FFFFFF"/>
        <w:spacing w:before="300" w:line="300" w:lineRule="atLeast"/>
        <w:jc w:val="center"/>
        <w:rPr>
          <w:rFonts w:ascii="Montserrat" w:eastAsia="Times New Roman" w:hAnsi="Montserrat" w:cs="Open Sans"/>
          <w:b/>
          <w:bCs/>
          <w:i/>
          <w:iCs/>
          <w:color w:val="D49400"/>
          <w:kern w:val="0"/>
          <w:sz w:val="24"/>
          <w:szCs w:val="24"/>
          <w:lang w:eastAsia="es-UY"/>
          <w14:ligatures w14:val="none"/>
        </w:rPr>
      </w:pPr>
      <w:r w:rsidRPr="000735FA">
        <w:rPr>
          <w:rFonts w:ascii="Montserrat" w:eastAsia="Times New Roman" w:hAnsi="Montserrat" w:cs="Open Sans"/>
          <w:b/>
          <w:bCs/>
          <w:i/>
          <w:iCs/>
          <w:color w:val="D49400"/>
          <w:kern w:val="0"/>
          <w:sz w:val="24"/>
          <w:szCs w:val="24"/>
          <w:lang w:eastAsia="es-UY"/>
          <w14:ligatures w14:val="none"/>
        </w:rPr>
        <w:t>"¿Cómo podemos crear espacios en los que aquellos que se sienten heridos por la Iglesia y rechazados por la comunidad puedan sentirse reconocidos, acogidos, no juzgados y libres para hacer preguntas?"</w:t>
      </w:r>
    </w:p>
    <w:p w14:paraId="681E4567"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La mayor parte de las preguntan hunden sus raíces en sínodos anteriores, como el de la Amazonía o el de la Familia, en una suerte de continuidad en este pontificado, donde diez años después ya no extrañan interrogantes como éste: “La mayor parte de las Asambleas continentales y las síntesis de numerosas Conferencias episcopales piden</w:t>
      </w:r>
      <w:r w:rsidRPr="000735FA">
        <w:rPr>
          <w:rFonts w:ascii="Open Sans" w:eastAsia="Times New Roman" w:hAnsi="Open Sans" w:cs="Open Sans"/>
          <w:b/>
          <w:bCs/>
          <w:color w:val="474747"/>
          <w:kern w:val="0"/>
          <w:sz w:val="21"/>
          <w:szCs w:val="21"/>
          <w:lang w:eastAsia="es-UY"/>
          <w14:ligatures w14:val="none"/>
        </w:rPr>
        <w:t> que se considere de nuevo la cuestión del acceso de las mujeres al diaconado. ¿Es posible plantearlo y en qué modo?</w:t>
      </w:r>
      <w:r w:rsidRPr="000735FA">
        <w:rPr>
          <w:rFonts w:ascii="Open Sans" w:eastAsia="Times New Roman" w:hAnsi="Open Sans" w:cs="Open Sans"/>
          <w:color w:val="333333"/>
          <w:kern w:val="0"/>
          <w:sz w:val="21"/>
          <w:szCs w:val="21"/>
          <w:lang w:eastAsia="es-UY"/>
          <w14:ligatures w14:val="none"/>
        </w:rPr>
        <w:t>”, aunque no llega a apuntarse la posibilidad del sacerdocio femenino.</w:t>
      </w:r>
    </w:p>
    <w:p w14:paraId="6C59821E" w14:textId="77777777" w:rsidR="000735FA" w:rsidRPr="000735FA" w:rsidRDefault="000735FA" w:rsidP="000735FA">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Curas casados y primado del Papa</w:t>
      </w:r>
    </w:p>
    <w:p w14:paraId="40E1A2D9"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O, especialmente, estas dos: “¿Es posible que, sobre todo en lugares donde el número de ministros ordenados es muy reducido, los laicos puedan asumir el papel de responsables de la comunidad? ¿Qué implicaciones tiene esto en la comprensión del ministerio ordenado?”, o “¿Es posible, como proponen algunos continentes, abrir una reflexión sobre la posibilidad de revisar, al menos en algunos ámbitos, la</w:t>
      </w:r>
      <w:r w:rsidRPr="000735FA">
        <w:rPr>
          <w:rFonts w:ascii="Open Sans" w:eastAsia="Times New Roman" w:hAnsi="Open Sans" w:cs="Open Sans"/>
          <w:b/>
          <w:bCs/>
          <w:color w:val="474747"/>
          <w:kern w:val="0"/>
          <w:sz w:val="21"/>
          <w:szCs w:val="21"/>
          <w:lang w:eastAsia="es-UY"/>
          <w14:ligatures w14:val="none"/>
        </w:rPr>
        <w:t> disciplina de acceso al presbiterado por parte de hombres casados?</w:t>
      </w:r>
      <w:r w:rsidRPr="000735FA">
        <w:rPr>
          <w:rFonts w:ascii="Open Sans" w:eastAsia="Times New Roman" w:hAnsi="Open Sans" w:cs="Open Sans"/>
          <w:color w:val="333333"/>
          <w:kern w:val="0"/>
          <w:sz w:val="21"/>
          <w:szCs w:val="21"/>
          <w:lang w:eastAsia="es-UY"/>
          <w14:ligatures w14:val="none"/>
        </w:rPr>
        <w:t xml:space="preserve">”. Preguntas claras que requerirán respuestas precisas por parte de los padres (y madres) sinodales, antes de una decisión final del Papa. Un Papa, abierto, incluso, a repensar su función: “¿Cómo debe evolucionar el papel del Obispo de Roma y el ejercicio del primado en una Iglesia sinodal?”, aparece en el </w:t>
      </w:r>
      <w:proofErr w:type="spellStart"/>
      <w:r w:rsidRPr="000735FA">
        <w:rPr>
          <w:rFonts w:ascii="Open Sans" w:eastAsia="Times New Roman" w:hAnsi="Open Sans" w:cs="Open Sans"/>
          <w:color w:val="333333"/>
          <w:kern w:val="0"/>
          <w:sz w:val="21"/>
          <w:szCs w:val="21"/>
          <w:lang w:eastAsia="es-UY"/>
          <w14:ligatures w14:val="none"/>
        </w:rPr>
        <w:t>Intrumentum</w:t>
      </w:r>
      <w:proofErr w:type="spellEnd"/>
      <w:r w:rsidRPr="000735FA">
        <w:rPr>
          <w:rFonts w:ascii="Open Sans" w:eastAsia="Times New Roman" w:hAnsi="Open Sans" w:cs="Open Sans"/>
          <w:color w:val="333333"/>
          <w:kern w:val="0"/>
          <w:sz w:val="21"/>
          <w:szCs w:val="21"/>
          <w:lang w:eastAsia="es-UY"/>
          <w14:ligatures w14:val="none"/>
        </w:rPr>
        <w:t xml:space="preserve"> </w:t>
      </w:r>
      <w:proofErr w:type="spellStart"/>
      <w:r w:rsidRPr="000735FA">
        <w:rPr>
          <w:rFonts w:ascii="Open Sans" w:eastAsia="Times New Roman" w:hAnsi="Open Sans" w:cs="Open Sans"/>
          <w:color w:val="333333"/>
          <w:kern w:val="0"/>
          <w:sz w:val="21"/>
          <w:szCs w:val="21"/>
          <w:lang w:eastAsia="es-UY"/>
          <w14:ligatures w14:val="none"/>
        </w:rPr>
        <w:t>Laboris</w:t>
      </w:r>
      <w:proofErr w:type="spellEnd"/>
      <w:r w:rsidRPr="000735FA">
        <w:rPr>
          <w:rFonts w:ascii="Open Sans" w:eastAsia="Times New Roman" w:hAnsi="Open Sans" w:cs="Open Sans"/>
          <w:color w:val="333333"/>
          <w:kern w:val="0"/>
          <w:sz w:val="21"/>
          <w:szCs w:val="21"/>
          <w:lang w:eastAsia="es-UY"/>
          <w14:ligatures w14:val="none"/>
        </w:rPr>
        <w:t>.</w:t>
      </w:r>
    </w:p>
    <w:p w14:paraId="2B3132AE" w14:textId="77777777" w:rsidR="000735FA" w:rsidRPr="000735FA" w:rsidRDefault="000735FA" w:rsidP="000735FA">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noProof/>
          <w:color w:val="000000"/>
          <w:kern w:val="0"/>
          <w:sz w:val="21"/>
          <w:szCs w:val="21"/>
          <w:lang w:eastAsia="es-UY"/>
          <w14:ligatures w14:val="none"/>
        </w:rPr>
        <w:lastRenderedPageBreak/>
        <w:drawing>
          <wp:inline distT="0" distB="0" distL="0" distR="0" wp14:anchorId="5D687940" wp14:editId="747423E9">
            <wp:extent cx="4843379" cy="6565900"/>
            <wp:effectExtent l="0" t="0" r="0" b="6350"/>
            <wp:docPr id="3" name="Imagen 8" descr="Esquema de conversación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quema de conversación del Síno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427" cy="6572744"/>
                    </a:xfrm>
                    <a:prstGeom prst="rect">
                      <a:avLst/>
                    </a:prstGeom>
                    <a:noFill/>
                    <a:ln>
                      <a:noFill/>
                    </a:ln>
                  </pic:spPr>
                </pic:pic>
              </a:graphicData>
            </a:graphic>
          </wp:inline>
        </w:drawing>
      </w:r>
    </w:p>
    <w:p w14:paraId="1971FA81" w14:textId="77777777" w:rsidR="000735FA" w:rsidRPr="000735FA" w:rsidRDefault="000735FA" w:rsidP="000735FA">
      <w:pPr>
        <w:shd w:val="clear" w:color="auto" w:fill="FFFFFF"/>
        <w:spacing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color w:val="000000"/>
          <w:kern w:val="0"/>
          <w:sz w:val="21"/>
          <w:szCs w:val="21"/>
          <w:lang w:eastAsia="es-UY"/>
          <w14:ligatures w14:val="none"/>
        </w:rPr>
        <w:t>Esquema de conversación del Sínodo</w:t>
      </w:r>
    </w:p>
    <w:p w14:paraId="44A3F0AB"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“Caminar juntos significa </w:t>
      </w:r>
      <w:r w:rsidRPr="000735FA">
        <w:rPr>
          <w:rFonts w:ascii="Open Sans" w:eastAsia="Times New Roman" w:hAnsi="Open Sans" w:cs="Open Sans"/>
          <w:b/>
          <w:bCs/>
          <w:color w:val="474747"/>
          <w:kern w:val="0"/>
          <w:sz w:val="21"/>
          <w:szCs w:val="21"/>
          <w:lang w:eastAsia="es-UY"/>
          <w14:ligatures w14:val="none"/>
        </w:rPr>
        <w:t>no dejar a nadie atrás y ser capaces de seguir el ritmo de los que más luchan.</w:t>
      </w:r>
      <w:r w:rsidRPr="000735FA">
        <w:rPr>
          <w:rFonts w:ascii="Open Sans" w:eastAsia="Times New Roman" w:hAnsi="Open Sans" w:cs="Open Sans"/>
          <w:color w:val="333333"/>
          <w:kern w:val="0"/>
          <w:sz w:val="21"/>
          <w:szCs w:val="21"/>
          <w:lang w:eastAsia="es-UY"/>
          <w14:ligatures w14:val="none"/>
        </w:rPr>
        <w:t xml:space="preserve"> ¿Cómo podemos crecer en nuestra capacidad de promover el protagonismo de los últimos en la Iglesia y en la sociedad?”, se pregunta, al comienzo, el texto, que admite cómo “las desigualdades que marcan el mundo contemporáneo atraviesan también el cuerpo de la Iglesia, separando, por ejemplo, las Iglesias de los países ricos y pobres, o las comunidades de las zonas </w:t>
      </w:r>
      <w:proofErr w:type="gramStart"/>
      <w:r w:rsidRPr="000735FA">
        <w:rPr>
          <w:rFonts w:ascii="Open Sans" w:eastAsia="Times New Roman" w:hAnsi="Open Sans" w:cs="Open Sans"/>
          <w:color w:val="333333"/>
          <w:kern w:val="0"/>
          <w:sz w:val="21"/>
          <w:szCs w:val="21"/>
          <w:lang w:eastAsia="es-UY"/>
          <w14:ligatures w14:val="none"/>
        </w:rPr>
        <w:t>más ricas y más pobres</w:t>
      </w:r>
      <w:proofErr w:type="gramEnd"/>
      <w:r w:rsidRPr="000735FA">
        <w:rPr>
          <w:rFonts w:ascii="Open Sans" w:eastAsia="Times New Roman" w:hAnsi="Open Sans" w:cs="Open Sans"/>
          <w:color w:val="333333"/>
          <w:kern w:val="0"/>
          <w:sz w:val="21"/>
          <w:szCs w:val="21"/>
          <w:lang w:eastAsia="es-UY"/>
          <w14:ligatures w14:val="none"/>
        </w:rPr>
        <w:t xml:space="preserve"> y más pobres de un mismo país”. Y se pregunta: si “¿sabe la comunidad cristiana caminar junto con el conjunto de la sociedad en la construcción del bien común o se presenta como un sujeto interesado en defender sus propios intereses creados?”.</w:t>
      </w:r>
    </w:p>
    <w:p w14:paraId="6054A6BD" w14:textId="77777777" w:rsidR="000735FA" w:rsidRPr="000735FA" w:rsidRDefault="000735FA" w:rsidP="000735FA">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lastRenderedPageBreak/>
        <w:t>Testimonio político frente a la polarización</w:t>
      </w:r>
    </w:p>
    <w:p w14:paraId="2A8D799A"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b/>
          <w:bCs/>
          <w:color w:val="474747"/>
          <w:kern w:val="0"/>
          <w:sz w:val="21"/>
          <w:szCs w:val="21"/>
          <w:lang w:eastAsia="es-UY"/>
          <w14:ligatures w14:val="none"/>
        </w:rPr>
        <w:t>“¿Sabe dar testimonio de la posibilidad de concordia más allá de las polarizaciones políticas?</w:t>
      </w:r>
      <w:r w:rsidRPr="000735FA">
        <w:rPr>
          <w:rFonts w:ascii="Open Sans" w:eastAsia="Times New Roman" w:hAnsi="Open Sans" w:cs="Open Sans"/>
          <w:color w:val="333333"/>
          <w:kern w:val="0"/>
          <w:sz w:val="21"/>
          <w:szCs w:val="21"/>
          <w:lang w:eastAsia="es-UY"/>
          <w14:ligatures w14:val="none"/>
        </w:rPr>
        <w:t>”, cuestiona el IL, que admite que “trabajar por el bien común exige formar alianzas y coaliciones”, pero que la institución no siempre “acompaña a sus miembros comprometidos en política”.</w:t>
      </w:r>
    </w:p>
    <w:p w14:paraId="107ED3BA"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“El encuentro con los pobres y marginados y la posibilidad de caminar junto a ellos comienza a menudo con la disposición a escuchar sus vidas. ¿Tiene sentido pensar en el reconocimiento de un ministerio específico de escucha y acompañamiento para quienes asumen este servicio?”, pregunta, a modo de propuesta, el resumen sinodal, que pide un </w:t>
      </w:r>
      <w:r w:rsidRPr="000735FA">
        <w:rPr>
          <w:rFonts w:ascii="Open Sans" w:eastAsia="Times New Roman" w:hAnsi="Open Sans" w:cs="Open Sans"/>
          <w:b/>
          <w:bCs/>
          <w:color w:val="474747"/>
          <w:kern w:val="0"/>
          <w:sz w:val="21"/>
          <w:szCs w:val="21"/>
          <w:lang w:eastAsia="es-UY"/>
          <w14:ligatures w14:val="none"/>
        </w:rPr>
        <w:t>“reconocimiento eclesial” a quienes se comprometen por “una sociedad justa y el cuidado de la casa común”.</w:t>
      </w:r>
    </w:p>
    <w:p w14:paraId="6C8D44AF"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Junto a la situación de divorciados o LGTBQ+, el documento del Sínodo admite </w:t>
      </w:r>
      <w:r w:rsidRPr="000735FA">
        <w:rPr>
          <w:rFonts w:ascii="Open Sans" w:eastAsia="Times New Roman" w:hAnsi="Open Sans" w:cs="Open Sans"/>
          <w:b/>
          <w:bCs/>
          <w:color w:val="474747"/>
          <w:kern w:val="0"/>
          <w:sz w:val="21"/>
          <w:szCs w:val="21"/>
          <w:lang w:eastAsia="es-UY"/>
          <w14:ligatures w14:val="none"/>
        </w:rPr>
        <w:t>“formas de discriminación racial, tribal, étnica, de clase o de casta también presentes en el Pueblo de Dios”</w:t>
      </w:r>
      <w:r w:rsidRPr="000735FA">
        <w:rPr>
          <w:rFonts w:ascii="Open Sans" w:eastAsia="Times New Roman" w:hAnsi="Open Sans" w:cs="Open Sans"/>
          <w:color w:val="333333"/>
          <w:kern w:val="0"/>
          <w:sz w:val="21"/>
          <w:szCs w:val="21"/>
          <w:lang w:eastAsia="es-UY"/>
          <w14:ligatures w14:val="none"/>
        </w:rPr>
        <w:t>, que se topa con “una pluralidad de barreras, desde las prácticas hasta los prejuicios culturales,”, que “generan formas de exclusión en la comunidad”.</w:t>
      </w:r>
    </w:p>
    <w:p w14:paraId="0290DDAC" w14:textId="77777777" w:rsidR="000735FA" w:rsidRPr="000735FA" w:rsidRDefault="000735FA" w:rsidP="000735FA">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noProof/>
          <w:color w:val="000000"/>
          <w:kern w:val="0"/>
          <w:sz w:val="21"/>
          <w:szCs w:val="21"/>
          <w:lang w:eastAsia="es-UY"/>
          <w14:ligatures w14:val="none"/>
        </w:rPr>
        <w:drawing>
          <wp:inline distT="0" distB="0" distL="0" distR="0" wp14:anchorId="08A0D7C7" wp14:editId="4E1A4565">
            <wp:extent cx="4197350" cy="4226702"/>
            <wp:effectExtent l="0" t="0" r="0" b="2540"/>
            <wp:docPr id="4" name="Imagen 7" descr="Por una Iglesi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 una Iglesia sino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1499" cy="4230880"/>
                    </a:xfrm>
                    <a:prstGeom prst="rect">
                      <a:avLst/>
                    </a:prstGeom>
                    <a:noFill/>
                    <a:ln>
                      <a:noFill/>
                    </a:ln>
                  </pic:spPr>
                </pic:pic>
              </a:graphicData>
            </a:graphic>
          </wp:inline>
        </w:drawing>
      </w:r>
    </w:p>
    <w:p w14:paraId="0A94B8C6" w14:textId="77777777" w:rsidR="000735FA" w:rsidRPr="000735FA" w:rsidRDefault="000735FA" w:rsidP="000735FA">
      <w:pPr>
        <w:shd w:val="clear" w:color="auto" w:fill="FFFFFF"/>
        <w:spacing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color w:val="000000"/>
          <w:kern w:val="0"/>
          <w:sz w:val="21"/>
          <w:szCs w:val="21"/>
          <w:lang w:eastAsia="es-UY"/>
          <w14:ligatures w14:val="none"/>
        </w:rPr>
        <w:t>Por una Iglesia sinodal</w:t>
      </w:r>
    </w:p>
    <w:p w14:paraId="06813AA2"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lastRenderedPageBreak/>
        <w:t>Especialmente preocupante es la “</w:t>
      </w:r>
      <w:r w:rsidRPr="000735FA">
        <w:rPr>
          <w:rFonts w:ascii="Open Sans" w:eastAsia="Times New Roman" w:hAnsi="Open Sans" w:cs="Open Sans"/>
          <w:b/>
          <w:bCs/>
          <w:color w:val="474747"/>
          <w:kern w:val="0"/>
          <w:sz w:val="21"/>
          <w:szCs w:val="21"/>
          <w:lang w:eastAsia="es-UY"/>
          <w14:ligatures w14:val="none"/>
        </w:rPr>
        <w:t>atención a las víctimas y marginados dentro de la Iglesia”</w:t>
      </w:r>
      <w:r w:rsidRPr="000735FA">
        <w:rPr>
          <w:rFonts w:ascii="Open Sans" w:eastAsia="Times New Roman" w:hAnsi="Open Sans" w:cs="Open Sans"/>
          <w:color w:val="333333"/>
          <w:kern w:val="0"/>
          <w:sz w:val="21"/>
          <w:szCs w:val="21"/>
          <w:lang w:eastAsia="es-UY"/>
          <w14:ligatures w14:val="none"/>
        </w:rPr>
        <w:t>, con especial hincapié en “quienes han sido heridos por miembros de la Iglesia, especialmente víctimas y supervivientes de todas las formas de abuso”. “¿Cómo podemos seguir dando pasos concretos para ofrecer justicia a las víctimas y supervivientes de abusos sexuales, espirituales, económicos, de poder y de conciencia por parte de personas que estaban desempeñando un ministerio o una misión eclesial?”, cuestiona el texto.</w:t>
      </w:r>
    </w:p>
    <w:p w14:paraId="26B313E3" w14:textId="77777777" w:rsidR="000735FA" w:rsidRPr="000735FA" w:rsidRDefault="000735FA" w:rsidP="000735FA">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Compromiso ecuménico renovado</w:t>
      </w:r>
    </w:p>
    <w:p w14:paraId="3F0EBB24"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Un auténtico ecumenismo que, incluso, pueda revisar el primado de Pedro, también ocupa un lugar destacado en las preguntas del IL. “</w:t>
      </w:r>
      <w:r w:rsidRPr="000735FA">
        <w:rPr>
          <w:rFonts w:ascii="Open Sans" w:eastAsia="Times New Roman" w:hAnsi="Open Sans" w:cs="Open Sans"/>
          <w:b/>
          <w:bCs/>
          <w:color w:val="474747"/>
          <w:kern w:val="0"/>
          <w:sz w:val="21"/>
          <w:szCs w:val="21"/>
          <w:lang w:eastAsia="es-UY"/>
          <w14:ligatures w14:val="none"/>
        </w:rPr>
        <w:t>¿Cómo puede una Iglesia sinodal cumplir mejor su misión mediante un compromiso ecuménico renovado?</w:t>
      </w:r>
      <w:r w:rsidRPr="000735FA">
        <w:rPr>
          <w:rFonts w:ascii="Open Sans" w:eastAsia="Times New Roman" w:hAnsi="Open Sans" w:cs="Open Sans"/>
          <w:color w:val="333333"/>
          <w:kern w:val="0"/>
          <w:sz w:val="21"/>
          <w:szCs w:val="21"/>
          <w:lang w:eastAsia="es-UY"/>
          <w14:ligatures w14:val="none"/>
        </w:rPr>
        <w:t>”, apunta como clave para el discernimiento, reivindicando “una sanación de la memoria respecto a la relación con otras Iglesias y comunidades eclesiales” “¿Cómo podemos construir juntos una "nueva memoria"?”, incide.</w:t>
      </w:r>
    </w:p>
    <w:p w14:paraId="332E388F"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“¿Cómo puede contribuir el proceso sinodal en curso a "encontrar una</w:t>
      </w:r>
      <w:r w:rsidRPr="000735FA">
        <w:rPr>
          <w:rFonts w:ascii="Open Sans" w:eastAsia="Times New Roman" w:hAnsi="Open Sans" w:cs="Open Sans"/>
          <w:b/>
          <w:bCs/>
          <w:color w:val="474747"/>
          <w:kern w:val="0"/>
          <w:sz w:val="21"/>
          <w:szCs w:val="21"/>
          <w:lang w:eastAsia="es-UY"/>
          <w14:ligatures w14:val="none"/>
        </w:rPr>
        <w:t> forma de ejercicio del primado</w:t>
      </w:r>
      <w:r w:rsidRPr="000735FA">
        <w:rPr>
          <w:rFonts w:ascii="Open Sans" w:eastAsia="Times New Roman" w:hAnsi="Open Sans" w:cs="Open Sans"/>
          <w:color w:val="333333"/>
          <w:kern w:val="0"/>
          <w:sz w:val="21"/>
          <w:szCs w:val="21"/>
          <w:lang w:eastAsia="es-UY"/>
          <w14:ligatures w14:val="none"/>
        </w:rPr>
        <w:t> que, sin renunciar en absoluto a lo esencial de su misión, esté abierta a una nueva situación?”, recalca, en un inusitado gesto que el Papa ya ha sugerido en multitud de encuentros con líderes de otras confesiones cristianas, reivindicándose como Obispo de Roma y no como Sumo Pontífice.</w:t>
      </w:r>
    </w:p>
    <w:p w14:paraId="0F3C8FAF" w14:textId="77777777" w:rsidR="000735FA" w:rsidRPr="000735FA" w:rsidRDefault="000735FA" w:rsidP="000735FA">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noProof/>
          <w:color w:val="000000"/>
          <w:kern w:val="0"/>
          <w:sz w:val="21"/>
          <w:szCs w:val="21"/>
          <w:lang w:eastAsia="es-UY"/>
          <w14:ligatures w14:val="none"/>
        </w:rPr>
        <w:drawing>
          <wp:inline distT="0" distB="0" distL="0" distR="0" wp14:anchorId="3869CB36" wp14:editId="78290DB8">
            <wp:extent cx="5346700" cy="3001844"/>
            <wp:effectExtent l="0" t="0" r="6350" b="8255"/>
            <wp:docPr id="5" name="Imagen 6" descr="El Sínodo entra en su rect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Sínodo entra en su recta fi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5635" cy="3006860"/>
                    </a:xfrm>
                    <a:prstGeom prst="rect">
                      <a:avLst/>
                    </a:prstGeom>
                    <a:noFill/>
                    <a:ln>
                      <a:noFill/>
                    </a:ln>
                  </pic:spPr>
                </pic:pic>
              </a:graphicData>
            </a:graphic>
          </wp:inline>
        </w:drawing>
      </w:r>
    </w:p>
    <w:p w14:paraId="2160D5DD" w14:textId="77777777" w:rsidR="000735FA" w:rsidRPr="000735FA" w:rsidRDefault="000735FA" w:rsidP="000735FA">
      <w:pPr>
        <w:shd w:val="clear" w:color="auto" w:fill="FFFFFF"/>
        <w:spacing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color w:val="000000"/>
          <w:kern w:val="0"/>
          <w:sz w:val="21"/>
          <w:szCs w:val="21"/>
          <w:lang w:eastAsia="es-UY"/>
          <w14:ligatures w14:val="none"/>
        </w:rPr>
        <w:t>El Sínodo entra en su recta final </w:t>
      </w:r>
      <w:proofErr w:type="spellStart"/>
      <w:r w:rsidRPr="000735FA">
        <w:rPr>
          <w:rFonts w:ascii="inherit" w:eastAsia="Times New Roman" w:hAnsi="inherit" w:cs="Open Sans"/>
          <w:color w:val="8C8C8C"/>
          <w:kern w:val="0"/>
          <w:sz w:val="21"/>
          <w:szCs w:val="21"/>
          <w:lang w:eastAsia="es-UY"/>
          <w14:ligatures w14:val="none"/>
        </w:rPr>
        <w:t>Vatican</w:t>
      </w:r>
      <w:proofErr w:type="spellEnd"/>
      <w:r w:rsidRPr="000735FA">
        <w:rPr>
          <w:rFonts w:ascii="inherit" w:eastAsia="Times New Roman" w:hAnsi="inherit" w:cs="Open Sans"/>
          <w:color w:val="8C8C8C"/>
          <w:kern w:val="0"/>
          <w:sz w:val="21"/>
          <w:szCs w:val="21"/>
          <w:lang w:eastAsia="es-UY"/>
          <w14:ligatures w14:val="none"/>
        </w:rPr>
        <w:t xml:space="preserve"> Media</w:t>
      </w:r>
    </w:p>
    <w:p w14:paraId="1AF935FC" w14:textId="77777777" w:rsidR="000735FA" w:rsidRPr="000735FA" w:rsidRDefault="000735FA" w:rsidP="000735FA">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Testimonio del Evangelio sin colonialismos</w:t>
      </w:r>
    </w:p>
    <w:p w14:paraId="6598CEF3"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 xml:space="preserve">“¿Cómo hacer comunicable y perceptible el anuncio del Evangelio en contextos y culturas diferentes, para favorecer el encuentro con Cristo de los hombres y mujeres de nuestro tiempo?”, es otra de las sugerencias del documento sinodal, que invita </w:t>
      </w:r>
      <w:r w:rsidRPr="000735FA">
        <w:rPr>
          <w:rFonts w:ascii="Open Sans" w:eastAsia="Times New Roman" w:hAnsi="Open Sans" w:cs="Open Sans"/>
          <w:color w:val="333333"/>
          <w:kern w:val="0"/>
          <w:sz w:val="21"/>
          <w:szCs w:val="21"/>
          <w:lang w:eastAsia="es-UY"/>
          <w14:ligatures w14:val="none"/>
        </w:rPr>
        <w:lastRenderedPageBreak/>
        <w:t>a </w:t>
      </w:r>
      <w:r w:rsidRPr="000735FA">
        <w:rPr>
          <w:rFonts w:ascii="Open Sans" w:eastAsia="Times New Roman" w:hAnsi="Open Sans" w:cs="Open Sans"/>
          <w:b/>
          <w:bCs/>
          <w:color w:val="474747"/>
          <w:kern w:val="0"/>
          <w:sz w:val="21"/>
          <w:szCs w:val="21"/>
          <w:lang w:eastAsia="es-UY"/>
          <w14:ligatures w14:val="none"/>
        </w:rPr>
        <w:t>“gestos de reconciliación y paz con otras religiones”</w:t>
      </w:r>
      <w:r w:rsidRPr="000735FA">
        <w:rPr>
          <w:rFonts w:ascii="Open Sans" w:eastAsia="Times New Roman" w:hAnsi="Open Sans" w:cs="Open Sans"/>
          <w:color w:val="333333"/>
          <w:kern w:val="0"/>
          <w:sz w:val="21"/>
          <w:szCs w:val="21"/>
          <w:lang w:eastAsia="es-UY"/>
          <w14:ligatures w14:val="none"/>
        </w:rPr>
        <w:t>, así como a cuestionarse “cómo dar testimonio del Evangelio en los países en los que la Iglesia está en minoría, sin debilitar el testimonio de la fe, pero también sin exponer a los a los cristianos a la ligera a amenazas y persecuciones”, y, a la vez, “</w:t>
      </w:r>
      <w:r w:rsidRPr="000735FA">
        <w:rPr>
          <w:rFonts w:ascii="Open Sans" w:eastAsia="Times New Roman" w:hAnsi="Open Sans" w:cs="Open Sans"/>
          <w:b/>
          <w:bCs/>
          <w:color w:val="474747"/>
          <w:kern w:val="0"/>
          <w:sz w:val="21"/>
          <w:szCs w:val="21"/>
          <w:lang w:eastAsia="es-UY"/>
          <w14:ligatures w14:val="none"/>
        </w:rPr>
        <w:t>evitando formas de colonialismo</w:t>
      </w:r>
      <w:r w:rsidRPr="000735FA">
        <w:rPr>
          <w:rFonts w:ascii="Open Sans" w:eastAsia="Times New Roman" w:hAnsi="Open Sans" w:cs="Open Sans"/>
          <w:color w:val="333333"/>
          <w:kern w:val="0"/>
          <w:sz w:val="21"/>
          <w:szCs w:val="21"/>
          <w:lang w:eastAsia="es-UY"/>
          <w14:ligatures w14:val="none"/>
        </w:rPr>
        <w:t>”.</w:t>
      </w:r>
    </w:p>
    <w:p w14:paraId="32482847"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También, admitiendo que “la doctrina social de la Iglesia se considera a menudo patrimonio de expertos y teólogos y desconectada de la vida cotidiana de las comunidades. ¿Cómo puede el Pueblo de Dios reapropiarse de ella como recurso para la misión?”.</w:t>
      </w:r>
    </w:p>
    <w:p w14:paraId="153E0A21"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 xml:space="preserve">El otro gran interrogante del </w:t>
      </w:r>
      <w:proofErr w:type="spellStart"/>
      <w:r w:rsidRPr="000735FA">
        <w:rPr>
          <w:rFonts w:ascii="Open Sans" w:eastAsia="Times New Roman" w:hAnsi="Open Sans" w:cs="Open Sans"/>
          <w:color w:val="333333"/>
          <w:kern w:val="0"/>
          <w:sz w:val="21"/>
          <w:szCs w:val="21"/>
          <w:lang w:eastAsia="es-UY"/>
          <w14:ligatures w14:val="none"/>
        </w:rPr>
        <w:t>Instrumentum</w:t>
      </w:r>
      <w:proofErr w:type="spellEnd"/>
      <w:r w:rsidRPr="000735FA">
        <w:rPr>
          <w:rFonts w:ascii="Open Sans" w:eastAsia="Times New Roman" w:hAnsi="Open Sans" w:cs="Open Sans"/>
          <w:color w:val="333333"/>
          <w:kern w:val="0"/>
          <w:sz w:val="21"/>
          <w:szCs w:val="21"/>
          <w:lang w:eastAsia="es-UY"/>
          <w14:ligatures w14:val="none"/>
        </w:rPr>
        <w:t xml:space="preserve"> </w:t>
      </w:r>
      <w:proofErr w:type="spellStart"/>
      <w:r w:rsidRPr="000735FA">
        <w:rPr>
          <w:rFonts w:ascii="Open Sans" w:eastAsia="Times New Roman" w:hAnsi="Open Sans" w:cs="Open Sans"/>
          <w:color w:val="333333"/>
          <w:kern w:val="0"/>
          <w:sz w:val="21"/>
          <w:szCs w:val="21"/>
          <w:lang w:eastAsia="es-UY"/>
          <w14:ligatures w14:val="none"/>
        </w:rPr>
        <w:t>Laboris</w:t>
      </w:r>
      <w:proofErr w:type="spellEnd"/>
      <w:r w:rsidRPr="000735FA">
        <w:rPr>
          <w:rFonts w:ascii="Open Sans" w:eastAsia="Times New Roman" w:hAnsi="Open Sans" w:cs="Open Sans"/>
          <w:color w:val="333333"/>
          <w:kern w:val="0"/>
          <w:sz w:val="21"/>
          <w:szCs w:val="21"/>
          <w:lang w:eastAsia="es-UY"/>
          <w14:ligatures w14:val="none"/>
        </w:rPr>
        <w:t xml:space="preserve"> está en “qué hacer para que una Iglesia sinodal sea también una Iglesia misionera </w:t>
      </w:r>
      <w:r w:rsidRPr="000735FA">
        <w:rPr>
          <w:rFonts w:ascii="Open Sans" w:eastAsia="Times New Roman" w:hAnsi="Open Sans" w:cs="Open Sans"/>
          <w:b/>
          <w:bCs/>
          <w:color w:val="474747"/>
          <w:kern w:val="0"/>
          <w:sz w:val="21"/>
          <w:szCs w:val="21"/>
          <w:lang w:eastAsia="es-UY"/>
          <w14:ligatures w14:val="none"/>
        </w:rPr>
        <w:t>"toda ministerial</w:t>
      </w:r>
      <w:r w:rsidRPr="000735FA">
        <w:rPr>
          <w:rFonts w:ascii="Open Sans" w:eastAsia="Times New Roman" w:hAnsi="Open Sans" w:cs="Open Sans"/>
          <w:color w:val="333333"/>
          <w:kern w:val="0"/>
          <w:sz w:val="21"/>
          <w:szCs w:val="21"/>
          <w:lang w:eastAsia="es-UY"/>
          <w14:ligatures w14:val="none"/>
        </w:rPr>
        <w:t xml:space="preserve">"”, reconociendo “cierta urgencia por discernir los carismas emergentes y las formas apropiadas de ejercer los Ministerios bautismales (instituidos, extraordinarios </w:t>
      </w:r>
      <w:proofErr w:type="gramStart"/>
      <w:r w:rsidRPr="000735FA">
        <w:rPr>
          <w:rFonts w:ascii="Open Sans" w:eastAsia="Times New Roman" w:hAnsi="Open Sans" w:cs="Open Sans"/>
          <w:color w:val="333333"/>
          <w:kern w:val="0"/>
          <w:sz w:val="21"/>
          <w:szCs w:val="21"/>
          <w:lang w:eastAsia="es-UY"/>
          <w14:ligatures w14:val="none"/>
        </w:rPr>
        <w:t>y</w:t>
      </w:r>
      <w:proofErr w:type="gramEnd"/>
      <w:r w:rsidRPr="000735FA">
        <w:rPr>
          <w:rFonts w:ascii="Open Sans" w:eastAsia="Times New Roman" w:hAnsi="Open Sans" w:cs="Open Sans"/>
          <w:color w:val="333333"/>
          <w:kern w:val="0"/>
          <w:sz w:val="21"/>
          <w:szCs w:val="21"/>
          <w:lang w:eastAsia="es-UY"/>
          <w14:ligatures w14:val="none"/>
        </w:rPr>
        <w:t xml:space="preserve"> de hecho) en el seno del Pueblo de Dios, partícipe de la función profética, sacerdotal y real de Cristo”.</w:t>
      </w:r>
    </w:p>
    <w:p w14:paraId="081761C5"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En lo tocante al sacerdocio, el documento recalca la “evidente llamada a superar una visión que reserva sólo a los ministros ordenados (obispos, presbíteros, diáconos) toda función activa en la Iglesia, reduciendo la participación de los bautizados a una colaboración subordinada”, y abogando por </w:t>
      </w:r>
      <w:r w:rsidRPr="000735FA">
        <w:rPr>
          <w:rFonts w:ascii="Open Sans" w:eastAsia="Times New Roman" w:hAnsi="Open Sans" w:cs="Open Sans"/>
          <w:b/>
          <w:bCs/>
          <w:color w:val="474747"/>
          <w:kern w:val="0"/>
          <w:sz w:val="21"/>
          <w:szCs w:val="21"/>
          <w:lang w:eastAsia="es-UY"/>
          <w14:ligatures w14:val="none"/>
        </w:rPr>
        <w:t>“una concepción ministerial de la Iglesia en su conjunto”,</w:t>
      </w:r>
      <w:r w:rsidRPr="000735FA">
        <w:rPr>
          <w:rFonts w:ascii="Open Sans" w:eastAsia="Times New Roman" w:hAnsi="Open Sans" w:cs="Open Sans"/>
          <w:color w:val="333333"/>
          <w:kern w:val="0"/>
          <w:sz w:val="21"/>
          <w:szCs w:val="21"/>
          <w:lang w:eastAsia="es-UY"/>
          <w14:ligatures w14:val="none"/>
        </w:rPr>
        <w:t> con el reconocimiento de “la dignidad bautismal” como eje de toda participación, tal y como reconoce el Vaticano II.</w:t>
      </w:r>
    </w:p>
    <w:p w14:paraId="040E6483" w14:textId="77777777" w:rsidR="000735FA" w:rsidRPr="000735FA" w:rsidRDefault="000735FA" w:rsidP="000735FA">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noProof/>
          <w:color w:val="000000"/>
          <w:kern w:val="0"/>
          <w:sz w:val="21"/>
          <w:szCs w:val="21"/>
          <w:lang w:eastAsia="es-UY"/>
          <w14:ligatures w14:val="none"/>
        </w:rPr>
        <w:drawing>
          <wp:inline distT="0" distB="0" distL="0" distR="0" wp14:anchorId="686C6A4E" wp14:editId="3BCA2F29">
            <wp:extent cx="4978400" cy="2795066"/>
            <wp:effectExtent l="0" t="0" r="0" b="5715"/>
            <wp:docPr id="6" name="Imagen 5" descr="Texto base para la asamblea sinodal de octubre: &quot;¡Profunda decepció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o base para la asamblea sinodal de octubre: &quot;¡Profunda decepción!&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5992" cy="2799329"/>
                    </a:xfrm>
                    <a:prstGeom prst="rect">
                      <a:avLst/>
                    </a:prstGeom>
                    <a:noFill/>
                    <a:ln>
                      <a:noFill/>
                    </a:ln>
                  </pic:spPr>
                </pic:pic>
              </a:graphicData>
            </a:graphic>
          </wp:inline>
        </w:drawing>
      </w:r>
    </w:p>
    <w:p w14:paraId="3732B3EE" w14:textId="77777777" w:rsidR="000735FA" w:rsidRPr="000735FA" w:rsidRDefault="000735FA" w:rsidP="000735FA">
      <w:pPr>
        <w:shd w:val="clear" w:color="auto" w:fill="FFFFFF"/>
        <w:spacing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color w:val="000000"/>
          <w:kern w:val="0"/>
          <w:sz w:val="21"/>
          <w:szCs w:val="21"/>
          <w:lang w:eastAsia="es-UY"/>
          <w14:ligatures w14:val="none"/>
        </w:rPr>
        <w:t>Texto base para la asamblea sinodal de octubre: "¡Profunda decepción!"</w:t>
      </w:r>
    </w:p>
    <w:p w14:paraId="2F2D9019" w14:textId="77777777" w:rsidR="000735FA" w:rsidRPr="000735FA" w:rsidRDefault="000735FA" w:rsidP="000735FA">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Papel de la mujer</w:t>
      </w:r>
    </w:p>
    <w:p w14:paraId="01FDD25F"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 xml:space="preserve">De ahí, que sea “dar un nuevo impulso a la especial participación de los laicos en la evangelización en los diversos ámbitos de la vida social, cultural, económica y política, así como potenciar la aportación de los consagrados y consagradas, con sus diversos </w:t>
      </w:r>
      <w:r w:rsidRPr="000735FA">
        <w:rPr>
          <w:rFonts w:ascii="Open Sans" w:eastAsia="Times New Roman" w:hAnsi="Open Sans" w:cs="Open Sans"/>
          <w:color w:val="333333"/>
          <w:kern w:val="0"/>
          <w:sz w:val="21"/>
          <w:szCs w:val="21"/>
          <w:lang w:eastAsia="es-UY"/>
          <w14:ligatures w14:val="none"/>
        </w:rPr>
        <w:lastRenderedPageBreak/>
        <w:t>carismas, dentro de la vida de la Iglesia local”, e “imaginar nuevos ministerios al servicio de una Iglesia sinodal”. </w:t>
      </w:r>
      <w:r w:rsidRPr="000735FA">
        <w:rPr>
          <w:rFonts w:ascii="Open Sans" w:eastAsia="Times New Roman" w:hAnsi="Open Sans" w:cs="Open Sans"/>
          <w:b/>
          <w:bCs/>
          <w:color w:val="474747"/>
          <w:kern w:val="0"/>
          <w:sz w:val="21"/>
          <w:szCs w:val="21"/>
          <w:lang w:eastAsia="es-UY"/>
          <w14:ligatures w14:val="none"/>
        </w:rPr>
        <w:t>¿Cómo avanzar hacia una corresponsabilidad real y efectiva?</w:t>
      </w:r>
      <w:r w:rsidRPr="000735FA">
        <w:rPr>
          <w:rFonts w:ascii="Open Sans" w:eastAsia="Times New Roman" w:hAnsi="Open Sans" w:cs="Open Sans"/>
          <w:color w:val="333333"/>
          <w:kern w:val="0"/>
          <w:sz w:val="21"/>
          <w:szCs w:val="21"/>
          <w:lang w:eastAsia="es-UY"/>
          <w14:ligatures w14:val="none"/>
        </w:rPr>
        <w:t> es uno de los interrogantes clave, pero sin duda, el que más preguntas abiertas ofrece es el papel de la mujer, y “reconocimiento y promoción” de su dignidad.</w:t>
      </w:r>
    </w:p>
    <w:p w14:paraId="017C3E56"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“De manera sustancialmente unánime, a pesar de las diferentes perspectivas de cada continente, todas las Asambleas continentales piden que se preste atención a la experiencia, la condición y el papel de las mujeres”, se recalca en el texto, que subraya su papel “como</w:t>
      </w:r>
      <w:r w:rsidRPr="000735FA">
        <w:rPr>
          <w:rFonts w:ascii="Open Sans" w:eastAsia="Times New Roman" w:hAnsi="Open Sans" w:cs="Open Sans"/>
          <w:b/>
          <w:bCs/>
          <w:color w:val="474747"/>
          <w:kern w:val="0"/>
          <w:sz w:val="21"/>
          <w:szCs w:val="21"/>
          <w:lang w:eastAsia="es-UY"/>
          <w14:ligatures w14:val="none"/>
        </w:rPr>
        <w:t> evangelizadoras y a menudo primeras formadoras en la fe,</w:t>
      </w:r>
      <w:r w:rsidRPr="000735FA">
        <w:rPr>
          <w:rFonts w:ascii="Open Sans" w:eastAsia="Times New Roman" w:hAnsi="Open Sans" w:cs="Open Sans"/>
          <w:color w:val="333333"/>
          <w:kern w:val="0"/>
          <w:sz w:val="21"/>
          <w:szCs w:val="21"/>
          <w:lang w:eastAsia="es-UY"/>
          <w14:ligatures w14:val="none"/>
        </w:rPr>
        <w:t> destacando especialmente su contribución a la dimensión profética, en lugares remotos y contextos sociales problemáticos”. De ahí, que se reclame que “deben construirse juntos respuestas concretas para un mayor reconocimiento de la dignidad bautismal de las mujeres y para la lucha contra todas las formas de discriminación y exclusión de las que son víctimas en la comunidad eclesial y en la sociedad” y reconocer su “diversidad” en el Sínodo, </w:t>
      </w:r>
      <w:r w:rsidRPr="000735FA">
        <w:rPr>
          <w:rFonts w:ascii="Open Sans" w:eastAsia="Times New Roman" w:hAnsi="Open Sans" w:cs="Open Sans"/>
          <w:b/>
          <w:bCs/>
          <w:color w:val="474747"/>
          <w:kern w:val="0"/>
          <w:sz w:val="21"/>
          <w:szCs w:val="21"/>
          <w:lang w:eastAsia="es-UY"/>
          <w14:ligatures w14:val="none"/>
        </w:rPr>
        <w:t>“evitando tratar a las mujeres como un grupo homogéneo o un tema de discusión abstracto o ideológico”</w:t>
      </w:r>
      <w:r w:rsidRPr="000735FA">
        <w:rPr>
          <w:rFonts w:ascii="Open Sans" w:eastAsia="Times New Roman" w:hAnsi="Open Sans" w:cs="Open Sans"/>
          <w:color w:val="333333"/>
          <w:kern w:val="0"/>
          <w:sz w:val="21"/>
          <w:szCs w:val="21"/>
          <w:lang w:eastAsia="es-UY"/>
          <w14:ligatures w14:val="none"/>
        </w:rPr>
        <w:t>.</w:t>
      </w:r>
    </w:p>
    <w:p w14:paraId="16702916" w14:textId="77777777" w:rsidR="000735FA" w:rsidRPr="000735FA" w:rsidRDefault="000735FA" w:rsidP="000735FA">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noProof/>
          <w:color w:val="000000"/>
          <w:kern w:val="0"/>
          <w:sz w:val="21"/>
          <w:szCs w:val="21"/>
          <w:lang w:eastAsia="es-UY"/>
          <w14:ligatures w14:val="none"/>
        </w:rPr>
        <w:drawing>
          <wp:inline distT="0" distB="0" distL="0" distR="0" wp14:anchorId="3567C5AF" wp14:editId="08ADEAC2">
            <wp:extent cx="5010150" cy="2812891"/>
            <wp:effectExtent l="0" t="0" r="0" b="6985"/>
            <wp:docPr id="7" name="Imagen 4" descr="Mujeres de la WOC piden el sacerdocio 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jeres de la WOC piden el sacerdocio femeni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438" cy="2818106"/>
                    </a:xfrm>
                    <a:prstGeom prst="rect">
                      <a:avLst/>
                    </a:prstGeom>
                    <a:noFill/>
                    <a:ln>
                      <a:noFill/>
                    </a:ln>
                  </pic:spPr>
                </pic:pic>
              </a:graphicData>
            </a:graphic>
          </wp:inline>
        </w:drawing>
      </w:r>
    </w:p>
    <w:p w14:paraId="67E4F22C" w14:textId="77777777" w:rsidR="000735FA" w:rsidRPr="000735FA" w:rsidRDefault="000735FA" w:rsidP="000735FA">
      <w:pPr>
        <w:shd w:val="clear" w:color="auto" w:fill="FFFFFF"/>
        <w:spacing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color w:val="000000"/>
          <w:kern w:val="0"/>
          <w:sz w:val="21"/>
          <w:szCs w:val="21"/>
          <w:lang w:eastAsia="es-UY"/>
          <w14:ligatures w14:val="none"/>
        </w:rPr>
        <w:t>Mujeres de la WOC piden el sacerdocio femenino</w:t>
      </w:r>
    </w:p>
    <w:p w14:paraId="552B701C" w14:textId="77777777" w:rsidR="000735FA" w:rsidRPr="000735FA" w:rsidRDefault="000735FA" w:rsidP="000735FA">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Sin cuestionarse el sacerdocio femenino</w:t>
      </w:r>
    </w:p>
    <w:p w14:paraId="7E78C453"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Sin embargo, en las preguntas </w:t>
      </w:r>
      <w:r w:rsidRPr="000735FA">
        <w:rPr>
          <w:rFonts w:ascii="Open Sans" w:eastAsia="Times New Roman" w:hAnsi="Open Sans" w:cs="Open Sans"/>
          <w:b/>
          <w:bCs/>
          <w:color w:val="474747"/>
          <w:kern w:val="0"/>
          <w:sz w:val="21"/>
          <w:szCs w:val="21"/>
          <w:lang w:eastAsia="es-UY"/>
          <w14:ligatures w14:val="none"/>
        </w:rPr>
        <w:t>no llega a cuestionarse el sacerdocio femenino</w:t>
      </w:r>
      <w:r w:rsidRPr="000735FA">
        <w:rPr>
          <w:rFonts w:ascii="Open Sans" w:eastAsia="Times New Roman" w:hAnsi="Open Sans" w:cs="Open Sans"/>
          <w:color w:val="333333"/>
          <w:kern w:val="0"/>
          <w:sz w:val="21"/>
          <w:szCs w:val="21"/>
          <w:lang w:eastAsia="es-UY"/>
          <w14:ligatures w14:val="none"/>
        </w:rPr>
        <w:t>, y apenas se pregunta “¿Qué pasos concretos puede dar la Iglesia para renovar y reformar sus procedimientos, disposiciones institucionales y estructuras, de modo que permitan un mayor reconocimiento y participación de las mujeres, incluso en los procesos de gobierno y toma de decisiones, en un espíritu de comunión y con vistas a la misión?”.</w:t>
      </w:r>
    </w:p>
    <w:p w14:paraId="7A10A267"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 xml:space="preserve">“¿Qué nuevos ministerios podrían crearse para proporcionar medios y oportunidades para la participación efectiva de las mujeres en los órganos de discernimiento y toma </w:t>
      </w:r>
      <w:r w:rsidRPr="000735FA">
        <w:rPr>
          <w:rFonts w:ascii="Open Sans" w:eastAsia="Times New Roman" w:hAnsi="Open Sans" w:cs="Open Sans"/>
          <w:color w:val="333333"/>
          <w:kern w:val="0"/>
          <w:sz w:val="21"/>
          <w:szCs w:val="21"/>
          <w:lang w:eastAsia="es-UY"/>
          <w14:ligatures w14:val="none"/>
        </w:rPr>
        <w:lastRenderedPageBreak/>
        <w:t>de decisiones? ¿Cómo aumentar la corresponsabilidad en los procesos de toma de decisiones en lugares remotos y en contextos sociales problemáticos, donde las mujeres son a menudo las principales agentes de pastoral y evangelización? Las contribuciones recibidas durante la primera fase señalan que</w:t>
      </w:r>
      <w:r w:rsidRPr="000735FA">
        <w:rPr>
          <w:rFonts w:ascii="Open Sans" w:eastAsia="Times New Roman" w:hAnsi="Open Sans" w:cs="Open Sans"/>
          <w:b/>
          <w:bCs/>
          <w:color w:val="474747"/>
          <w:kern w:val="0"/>
          <w:sz w:val="21"/>
          <w:szCs w:val="21"/>
          <w:lang w:eastAsia="es-UY"/>
          <w14:ligatures w14:val="none"/>
        </w:rPr>
        <w:t> las tensiones con los ministros ordenados surgen en ausencia de dinámicas de corresponsabilidad y de procesos compartidos de toma de decisiones</w:t>
      </w:r>
      <w:r w:rsidRPr="000735FA">
        <w:rPr>
          <w:rFonts w:ascii="Open Sans" w:eastAsia="Times New Roman" w:hAnsi="Open Sans" w:cs="Open Sans"/>
          <w:color w:val="333333"/>
          <w:kern w:val="0"/>
          <w:sz w:val="21"/>
          <w:szCs w:val="21"/>
          <w:lang w:eastAsia="es-UY"/>
          <w14:ligatures w14:val="none"/>
        </w:rPr>
        <w:t>”, recalca el IL, que sí hace suya la petición de reconsiderar el acceso de las mujeres al diaconado.</w:t>
      </w:r>
    </w:p>
    <w:p w14:paraId="6B334C2A" w14:textId="77777777" w:rsidR="000735FA" w:rsidRPr="000735FA" w:rsidRDefault="000735FA" w:rsidP="000735FA">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noProof/>
          <w:color w:val="000000"/>
          <w:kern w:val="0"/>
          <w:sz w:val="21"/>
          <w:szCs w:val="21"/>
          <w:lang w:eastAsia="es-UY"/>
          <w14:ligatures w14:val="none"/>
        </w:rPr>
        <w:drawing>
          <wp:inline distT="0" distB="0" distL="0" distR="0" wp14:anchorId="4975FA6A" wp14:editId="5FB9CEE7">
            <wp:extent cx="5365750" cy="3012539"/>
            <wp:effectExtent l="0" t="0" r="6350" b="0"/>
            <wp:docPr id="8" name="Imagen 3" descr="Francisco y familias de sacerdotes c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cisco y familias de sacerdotes casad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721" cy="3018137"/>
                    </a:xfrm>
                    <a:prstGeom prst="rect">
                      <a:avLst/>
                    </a:prstGeom>
                    <a:noFill/>
                    <a:ln>
                      <a:noFill/>
                    </a:ln>
                  </pic:spPr>
                </pic:pic>
              </a:graphicData>
            </a:graphic>
          </wp:inline>
        </w:drawing>
      </w:r>
    </w:p>
    <w:p w14:paraId="29FDE61D" w14:textId="77777777" w:rsidR="000735FA" w:rsidRPr="000735FA" w:rsidRDefault="000735FA" w:rsidP="000735FA">
      <w:pPr>
        <w:shd w:val="clear" w:color="auto" w:fill="FFFFFF"/>
        <w:spacing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color w:val="000000"/>
          <w:kern w:val="0"/>
          <w:sz w:val="21"/>
          <w:szCs w:val="21"/>
          <w:lang w:eastAsia="es-UY"/>
          <w14:ligatures w14:val="none"/>
        </w:rPr>
        <w:t>Francisco y familias de sacerdotes casados</w:t>
      </w:r>
    </w:p>
    <w:p w14:paraId="0C71ADF2"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Sí parece apuntar muchas más opciones la cuestión del </w:t>
      </w:r>
      <w:r w:rsidRPr="000735FA">
        <w:rPr>
          <w:rFonts w:ascii="Open Sans" w:eastAsia="Times New Roman" w:hAnsi="Open Sans" w:cs="Open Sans"/>
          <w:b/>
          <w:bCs/>
          <w:color w:val="474747"/>
          <w:kern w:val="0"/>
          <w:sz w:val="21"/>
          <w:szCs w:val="21"/>
          <w:lang w:eastAsia="es-UY"/>
          <w14:ligatures w14:val="none"/>
        </w:rPr>
        <w:t>celibato sacerdotal</w:t>
      </w:r>
      <w:r w:rsidRPr="000735FA">
        <w:rPr>
          <w:rFonts w:ascii="Open Sans" w:eastAsia="Times New Roman" w:hAnsi="Open Sans" w:cs="Open Sans"/>
          <w:color w:val="333333"/>
          <w:kern w:val="0"/>
          <w:sz w:val="21"/>
          <w:szCs w:val="21"/>
          <w:lang w:eastAsia="es-UY"/>
          <w14:ligatures w14:val="none"/>
        </w:rPr>
        <w:t>. Así, el texto muestra su “preocupación por la soledad en la que viven muchos presbíteros y subrayan su necesidad de atención, amistad y apoyo” y clama por una “renovación de los programas de los seminarios” para que estén “más en contacto con todo el Pueblo de Dios”.</w:t>
      </w:r>
    </w:p>
    <w:p w14:paraId="002AD45D" w14:textId="77777777" w:rsidR="000735FA" w:rsidRPr="000735FA" w:rsidRDefault="000735FA" w:rsidP="000735FA">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Clericalismo y soledad</w:t>
      </w:r>
    </w:p>
    <w:p w14:paraId="0621B726"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“El clericalismo es una fuerza que aísla, separa y debilita una Iglesia sana y enteramente ministerial, y se indica la formación como el camino privilegiado para superarlo eficazmente”, sostiene el documento, que admite la confianza “</w:t>
      </w:r>
      <w:proofErr w:type="gramStart"/>
      <w:r w:rsidRPr="000735FA">
        <w:rPr>
          <w:rFonts w:ascii="Open Sans" w:eastAsia="Times New Roman" w:hAnsi="Open Sans" w:cs="Open Sans"/>
          <w:color w:val="333333"/>
          <w:kern w:val="0"/>
          <w:sz w:val="21"/>
          <w:szCs w:val="21"/>
          <w:lang w:eastAsia="es-UY"/>
          <w14:ligatures w14:val="none"/>
        </w:rPr>
        <w:t>minada”  por</w:t>
      </w:r>
      <w:proofErr w:type="gramEnd"/>
      <w:r w:rsidRPr="000735FA">
        <w:rPr>
          <w:rFonts w:ascii="Open Sans" w:eastAsia="Times New Roman" w:hAnsi="Open Sans" w:cs="Open Sans"/>
          <w:color w:val="333333"/>
          <w:kern w:val="0"/>
          <w:sz w:val="21"/>
          <w:szCs w:val="21"/>
          <w:lang w:eastAsia="es-UY"/>
          <w14:ligatures w14:val="none"/>
        </w:rPr>
        <w:t xml:space="preserve"> las consecuencias de “los abusos cometidos por miembros del clero o por personas que ejercen cargos eclesiales”.</w:t>
      </w:r>
    </w:p>
    <w:p w14:paraId="567BEB98"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“¿Es posible que, sobre todo en lugares donde el número de ministros ordenados es muy reducido, los laicos puedan asumir el papel de responsables de la comunidad? ¿Qué implicaciones tiene esto en la comprensión del ministerio ordenado?”, indica el documento, que añade: </w:t>
      </w:r>
      <w:r w:rsidRPr="000735FA">
        <w:rPr>
          <w:rFonts w:ascii="Open Sans" w:eastAsia="Times New Roman" w:hAnsi="Open Sans" w:cs="Open Sans"/>
          <w:b/>
          <w:bCs/>
          <w:color w:val="474747"/>
          <w:kern w:val="0"/>
          <w:sz w:val="21"/>
          <w:szCs w:val="21"/>
          <w:lang w:eastAsia="es-UY"/>
          <w14:ligatures w14:val="none"/>
        </w:rPr>
        <w:t>“¿Es posible, como proponen algunos continentes, abrir una reflexión sobre la posibilidad de revisar, al menos en algunas áreas, la disciplina sobre el acceso al presbiterado por parte de hombres casados?</w:t>
      </w:r>
      <w:r w:rsidRPr="000735FA">
        <w:rPr>
          <w:rFonts w:ascii="Open Sans" w:eastAsia="Times New Roman" w:hAnsi="Open Sans" w:cs="Open Sans"/>
          <w:color w:val="333333"/>
          <w:kern w:val="0"/>
          <w:sz w:val="21"/>
          <w:szCs w:val="21"/>
          <w:lang w:eastAsia="es-UY"/>
          <w14:ligatures w14:val="none"/>
        </w:rPr>
        <w:t xml:space="preserve">”. Tal vez </w:t>
      </w:r>
      <w:r w:rsidRPr="000735FA">
        <w:rPr>
          <w:rFonts w:ascii="Open Sans" w:eastAsia="Times New Roman" w:hAnsi="Open Sans" w:cs="Open Sans"/>
          <w:color w:val="333333"/>
          <w:kern w:val="0"/>
          <w:sz w:val="21"/>
          <w:szCs w:val="21"/>
          <w:lang w:eastAsia="es-UY"/>
          <w14:ligatures w14:val="none"/>
        </w:rPr>
        <w:lastRenderedPageBreak/>
        <w:t>lo que no llegó a concluirse en el Sínodo de la Amazonía pueda ser realidad tras el Sínodo de la Sinodalidad.</w:t>
      </w:r>
    </w:p>
    <w:p w14:paraId="6B0A16AB" w14:textId="77777777" w:rsidR="000735FA" w:rsidRPr="000735FA" w:rsidRDefault="000735FA" w:rsidP="000735FA">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noProof/>
          <w:color w:val="000000"/>
          <w:kern w:val="0"/>
          <w:sz w:val="21"/>
          <w:szCs w:val="21"/>
          <w:lang w:eastAsia="es-UY"/>
          <w14:ligatures w14:val="none"/>
        </w:rPr>
        <w:drawing>
          <wp:inline distT="0" distB="0" distL="0" distR="0" wp14:anchorId="066C1516" wp14:editId="36022DFE">
            <wp:extent cx="4914900" cy="2759414"/>
            <wp:effectExtent l="0" t="0" r="0" b="3175"/>
            <wp:docPr id="9" name="Imagen 2" descr="Las mujeres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 mujeres en la Igles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0798" cy="2762725"/>
                    </a:xfrm>
                    <a:prstGeom prst="rect">
                      <a:avLst/>
                    </a:prstGeom>
                    <a:noFill/>
                    <a:ln>
                      <a:noFill/>
                    </a:ln>
                  </pic:spPr>
                </pic:pic>
              </a:graphicData>
            </a:graphic>
          </wp:inline>
        </w:drawing>
      </w:r>
    </w:p>
    <w:p w14:paraId="7D14A01E" w14:textId="77777777" w:rsidR="000735FA" w:rsidRPr="000735FA" w:rsidRDefault="000735FA" w:rsidP="000735FA">
      <w:pPr>
        <w:shd w:val="clear" w:color="auto" w:fill="FFFFFF"/>
        <w:spacing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color w:val="000000"/>
          <w:kern w:val="0"/>
          <w:sz w:val="21"/>
          <w:szCs w:val="21"/>
          <w:lang w:eastAsia="es-UY"/>
          <w14:ligatures w14:val="none"/>
        </w:rPr>
        <w:t>Las mujeres en la Iglesia</w:t>
      </w:r>
    </w:p>
    <w:p w14:paraId="1B4FA4CC" w14:textId="77777777" w:rsidR="000735FA" w:rsidRPr="000735FA" w:rsidRDefault="000735FA" w:rsidP="000735FA">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Cambiar las estructuras canónicas</w:t>
      </w:r>
    </w:p>
    <w:p w14:paraId="5971F05D"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Más allá, un </w:t>
      </w:r>
      <w:r w:rsidRPr="000735FA">
        <w:rPr>
          <w:rFonts w:ascii="Open Sans" w:eastAsia="Times New Roman" w:hAnsi="Open Sans" w:cs="Open Sans"/>
          <w:b/>
          <w:bCs/>
          <w:color w:val="474747"/>
          <w:kern w:val="0"/>
          <w:sz w:val="21"/>
          <w:szCs w:val="21"/>
          <w:lang w:eastAsia="es-UY"/>
          <w14:ligatures w14:val="none"/>
        </w:rPr>
        <w:t>cambio de estructuras</w:t>
      </w:r>
      <w:r w:rsidRPr="000735FA">
        <w:rPr>
          <w:rFonts w:ascii="Open Sans" w:eastAsia="Times New Roman" w:hAnsi="Open Sans" w:cs="Open Sans"/>
          <w:color w:val="333333"/>
          <w:kern w:val="0"/>
          <w:sz w:val="21"/>
          <w:szCs w:val="21"/>
          <w:lang w:eastAsia="es-UY"/>
          <w14:ligatures w14:val="none"/>
        </w:rPr>
        <w:t>, aunque venga motivado por la falta de vocaciones. “¿En qué medida la escasez de sacerdotes en algunas regiones ofrece un estímulo para cuestionar la relación entre ministerio ordenado, gobierno y asunción de responsabilidades en la comunidad cristiana?”.</w:t>
      </w:r>
    </w:p>
    <w:p w14:paraId="031EF9DA"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“¿Cómo se puede promover la participación de mujeres, jóvenes, minorías, voces marginales en los procesos de discernimiento y toma de decisiones?”. Más preguntas que llevan a cuestiones relativas a “cambiar las estructuras canónicas y los procedimientos pastorales para favorecer la corresponsabilidad y la transparencia” y a discernir “qué obstáculos (mentales, teológicos, prácticos, organizativos, financieros, culturales) se oponen a la transformación de los órganos de participación actualmente previstos por el derecho canónico en órganos de discernimiento comunitario eficaz”.</w:t>
      </w:r>
    </w:p>
    <w:p w14:paraId="5663E068" w14:textId="77777777" w:rsidR="000735FA" w:rsidRPr="000735FA" w:rsidRDefault="000735FA" w:rsidP="000735FA">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noProof/>
          <w:color w:val="000000"/>
          <w:kern w:val="0"/>
          <w:sz w:val="21"/>
          <w:szCs w:val="21"/>
          <w:lang w:eastAsia="es-UY"/>
          <w14:ligatures w14:val="none"/>
        </w:rPr>
        <w:lastRenderedPageBreak/>
        <w:drawing>
          <wp:inline distT="0" distB="0" distL="0" distR="0" wp14:anchorId="4EB62954" wp14:editId="15DFCE7C">
            <wp:extent cx="4845050" cy="2720198"/>
            <wp:effectExtent l="0" t="0" r="0" b="4445"/>
            <wp:docPr id="10" name="Imagen 1" descr="Las diócesis españolas, bajo la lupa de la transpa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s diócesis españolas, bajo la lupa de la transparenc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225" cy="2727033"/>
                    </a:xfrm>
                    <a:prstGeom prst="rect">
                      <a:avLst/>
                    </a:prstGeom>
                    <a:noFill/>
                    <a:ln>
                      <a:noFill/>
                    </a:ln>
                  </pic:spPr>
                </pic:pic>
              </a:graphicData>
            </a:graphic>
          </wp:inline>
        </w:drawing>
      </w:r>
    </w:p>
    <w:p w14:paraId="50A4E92C" w14:textId="77777777" w:rsidR="000735FA" w:rsidRPr="000735FA" w:rsidRDefault="000735FA" w:rsidP="000735FA">
      <w:pPr>
        <w:shd w:val="clear" w:color="auto" w:fill="FFFFFF"/>
        <w:spacing w:line="240" w:lineRule="auto"/>
        <w:rPr>
          <w:rFonts w:ascii="inherit" w:eastAsia="Times New Roman" w:hAnsi="inherit" w:cs="Open Sans"/>
          <w:color w:val="000000"/>
          <w:kern w:val="0"/>
          <w:sz w:val="21"/>
          <w:szCs w:val="21"/>
          <w:lang w:eastAsia="es-UY"/>
          <w14:ligatures w14:val="none"/>
        </w:rPr>
      </w:pPr>
      <w:r w:rsidRPr="000735FA">
        <w:rPr>
          <w:rFonts w:ascii="inherit" w:eastAsia="Times New Roman" w:hAnsi="inherit" w:cs="Open Sans"/>
          <w:color w:val="000000"/>
          <w:kern w:val="0"/>
          <w:sz w:val="21"/>
          <w:szCs w:val="21"/>
          <w:lang w:eastAsia="es-UY"/>
          <w14:ligatures w14:val="none"/>
        </w:rPr>
        <w:t>Las diócesis españolas, bajo la lupa de la transparencia</w:t>
      </w:r>
    </w:p>
    <w:p w14:paraId="61922356" w14:textId="77777777" w:rsidR="000735FA" w:rsidRPr="000735FA" w:rsidRDefault="000735FA" w:rsidP="000735FA">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0735FA">
        <w:rPr>
          <w:rFonts w:ascii="Montserrat" w:eastAsia="Times New Roman" w:hAnsi="Montserrat" w:cs="Open Sans"/>
          <w:b/>
          <w:bCs/>
          <w:color w:val="474747"/>
          <w:kern w:val="0"/>
          <w:sz w:val="26"/>
          <w:szCs w:val="26"/>
          <w:lang w:eastAsia="es-UY"/>
          <w14:ligatures w14:val="none"/>
        </w:rPr>
        <w:t>Prevención de abusos y transparencia</w:t>
      </w:r>
    </w:p>
    <w:p w14:paraId="3E6278BA" w14:textId="77777777" w:rsidR="000735FA" w:rsidRP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“¿Hasta qué punto es posible distinguir entre los miembros de una institución y la propia institución? ¿De qué manera la perspectiva sinodal puede contribuir a crear una</w:t>
      </w:r>
      <w:r w:rsidRPr="000735FA">
        <w:rPr>
          <w:rFonts w:ascii="Open Sans" w:eastAsia="Times New Roman" w:hAnsi="Open Sans" w:cs="Open Sans"/>
          <w:b/>
          <w:bCs/>
          <w:color w:val="474747"/>
          <w:kern w:val="0"/>
          <w:sz w:val="21"/>
          <w:szCs w:val="21"/>
          <w:lang w:eastAsia="es-UY"/>
          <w14:ligatures w14:val="none"/>
        </w:rPr>
        <w:t> cultura de prevención de todo tipo de abusos?</w:t>
      </w:r>
      <w:r w:rsidRPr="000735FA">
        <w:rPr>
          <w:rFonts w:ascii="Open Sans" w:eastAsia="Times New Roman" w:hAnsi="Open Sans" w:cs="Open Sans"/>
          <w:color w:val="333333"/>
          <w:kern w:val="0"/>
          <w:sz w:val="21"/>
          <w:szCs w:val="21"/>
          <w:lang w:eastAsia="es-UY"/>
          <w14:ligatures w14:val="none"/>
        </w:rPr>
        <w:t>”, se cuestiona el documento, que pide “aprender del modo en que las instituciones públicas y el derecho público y civil intentan responder a la necesidad de transparencia y rendición de cuentas que proviene de la sociedad (separación de poderes, órganos de supervisión independientes, obligación de hacer públicos determinados procedimientos, límites a la duración de los nombramientos, etc.)”.</w:t>
      </w:r>
    </w:p>
    <w:p w14:paraId="62BE5348" w14:textId="77777777" w:rsidR="000735FA" w:rsidRDefault="000735FA"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735FA">
        <w:rPr>
          <w:rFonts w:ascii="Open Sans" w:eastAsia="Times New Roman" w:hAnsi="Open Sans" w:cs="Open Sans"/>
          <w:color w:val="333333"/>
          <w:kern w:val="0"/>
          <w:sz w:val="21"/>
          <w:szCs w:val="21"/>
          <w:lang w:eastAsia="es-UY"/>
          <w14:ligatures w14:val="none"/>
        </w:rPr>
        <w:t>Y, finalmente, cuál es el papel del mismo Sínodo para el futuro. “A la luz de la relación dinámica y circular entre la </w:t>
      </w:r>
      <w:r w:rsidRPr="000735FA">
        <w:rPr>
          <w:rFonts w:ascii="Open Sans" w:eastAsia="Times New Roman" w:hAnsi="Open Sans" w:cs="Open Sans"/>
          <w:b/>
          <w:bCs/>
          <w:color w:val="474747"/>
          <w:kern w:val="0"/>
          <w:sz w:val="21"/>
          <w:szCs w:val="21"/>
          <w:lang w:eastAsia="es-UY"/>
          <w14:ligatures w14:val="none"/>
        </w:rPr>
        <w:t xml:space="preserve">sinodalidad de la Iglesia, la colegialidad episcopal y el primado </w:t>
      </w:r>
      <w:proofErr w:type="spellStart"/>
      <w:r w:rsidRPr="000735FA">
        <w:rPr>
          <w:rFonts w:ascii="Open Sans" w:eastAsia="Times New Roman" w:hAnsi="Open Sans" w:cs="Open Sans"/>
          <w:b/>
          <w:bCs/>
          <w:color w:val="474747"/>
          <w:kern w:val="0"/>
          <w:sz w:val="21"/>
          <w:szCs w:val="21"/>
          <w:lang w:eastAsia="es-UY"/>
          <w14:ligatures w14:val="none"/>
        </w:rPr>
        <w:t>petrino</w:t>
      </w:r>
      <w:proofErr w:type="spellEnd"/>
      <w:r w:rsidRPr="000735FA">
        <w:rPr>
          <w:rFonts w:ascii="Open Sans" w:eastAsia="Times New Roman" w:hAnsi="Open Sans" w:cs="Open Sans"/>
          <w:color w:val="333333"/>
          <w:kern w:val="0"/>
          <w:sz w:val="21"/>
          <w:szCs w:val="21"/>
          <w:lang w:eastAsia="es-UY"/>
          <w14:ligatures w14:val="none"/>
        </w:rPr>
        <w:t>, ¿cómo perfeccionar la institución del Sínodo para que se convierta en un espacio cierto y garantizado para el ejercicio de la sinodalidad, asegurando la plena participación de todos -</w:t>
      </w:r>
      <w:proofErr w:type="gramStart"/>
      <w:r w:rsidRPr="000735FA">
        <w:rPr>
          <w:rFonts w:ascii="Open Sans" w:eastAsia="Times New Roman" w:hAnsi="Open Sans" w:cs="Open Sans"/>
          <w:color w:val="333333"/>
          <w:kern w:val="0"/>
          <w:sz w:val="21"/>
          <w:szCs w:val="21"/>
          <w:lang w:eastAsia="es-UY"/>
          <w14:ligatures w14:val="none"/>
        </w:rPr>
        <w:t xml:space="preserve">el Pueblo de Dios, el Colegio episcopal y el Obispo de </w:t>
      </w:r>
      <w:proofErr w:type="spellStart"/>
      <w:r w:rsidRPr="000735FA">
        <w:rPr>
          <w:rFonts w:ascii="Open Sans" w:eastAsia="Times New Roman" w:hAnsi="Open Sans" w:cs="Open Sans"/>
          <w:color w:val="333333"/>
          <w:kern w:val="0"/>
          <w:sz w:val="21"/>
          <w:szCs w:val="21"/>
          <w:lang w:eastAsia="es-UY"/>
          <w14:ligatures w14:val="none"/>
        </w:rPr>
        <w:t>Romarespetando</w:t>
      </w:r>
      <w:proofErr w:type="spellEnd"/>
      <w:r w:rsidRPr="000735FA">
        <w:rPr>
          <w:rFonts w:ascii="Open Sans" w:eastAsia="Times New Roman" w:hAnsi="Open Sans" w:cs="Open Sans"/>
          <w:color w:val="333333"/>
          <w:kern w:val="0"/>
          <w:sz w:val="21"/>
          <w:szCs w:val="21"/>
          <w:lang w:eastAsia="es-UY"/>
          <w14:ligatures w14:val="none"/>
        </w:rPr>
        <w:t xml:space="preserve"> sus funciones específicas?</w:t>
      </w:r>
      <w:proofErr w:type="gramEnd"/>
      <w:r w:rsidRPr="000735FA">
        <w:rPr>
          <w:rFonts w:ascii="Open Sans" w:eastAsia="Times New Roman" w:hAnsi="Open Sans" w:cs="Open Sans"/>
          <w:color w:val="333333"/>
          <w:kern w:val="0"/>
          <w:sz w:val="21"/>
          <w:szCs w:val="21"/>
          <w:lang w:eastAsia="es-UY"/>
          <w14:ligatures w14:val="none"/>
        </w:rPr>
        <w:t xml:space="preserve"> ¿Cómo valorar el experimento de extensión participativa a un grupo de «no obispos» en la primera sesión de la XVI Asamblea General Ordinaria del Sínodo de los Obispos (octubre 2023)?”.</w:t>
      </w:r>
    </w:p>
    <w:p w14:paraId="59BF5BD6" w14:textId="77777777" w:rsidR="00B028D0" w:rsidRDefault="00B028D0"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
    <w:p w14:paraId="46FAC0DA" w14:textId="11BB9FE9" w:rsidR="00B028D0" w:rsidRDefault="00B028D0"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hyperlink r:id="rId20" w:history="1">
        <w:r w:rsidRPr="00562999">
          <w:rPr>
            <w:rStyle w:val="Hipervnculo"/>
            <w:rFonts w:ascii="Open Sans" w:eastAsia="Times New Roman" w:hAnsi="Open Sans" w:cs="Open Sans"/>
            <w:kern w:val="0"/>
            <w:sz w:val="21"/>
            <w:szCs w:val="21"/>
            <w:lang w:eastAsia="es-UY"/>
            <w14:ligatures w14:val="none"/>
          </w:rPr>
          <w:t>https://www.religiondigital.org/vaticano/Vaticano-divorciados-LGTBQ-Iglesia-instrumentum-laboris-sinodo-celibato-diaconado-primado-democracia_0_2570742921.html?utm_source=newsletter&amp;utm_medium=email&amp;utm_campaign=cuales_son_las_preguntas_del_sinodo&amp;utm_term=2023-06-21</w:t>
        </w:r>
      </w:hyperlink>
    </w:p>
    <w:p w14:paraId="7D1867E8" w14:textId="77777777" w:rsidR="00B028D0" w:rsidRPr="000735FA" w:rsidRDefault="00B028D0" w:rsidP="000735FA">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
    <w:sectPr w:rsidR="00B028D0" w:rsidRPr="000735F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1D0D1F"/>
    <w:multiLevelType w:val="multilevel"/>
    <w:tmpl w:val="22DE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9596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FA"/>
    <w:rsid w:val="000735FA"/>
    <w:rsid w:val="00926044"/>
    <w:rsid w:val="00B028D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E57C2"/>
  <w15:chartTrackingRefBased/>
  <w15:docId w15:val="{1E338880-0E31-49AF-B1F7-E8D0A6F96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28D0"/>
    <w:rPr>
      <w:color w:val="0563C1" w:themeColor="hyperlink"/>
      <w:u w:val="single"/>
    </w:rPr>
  </w:style>
  <w:style w:type="character" w:styleId="Mencinsinresolver">
    <w:name w:val="Unresolved Mention"/>
    <w:basedOn w:val="Fuentedeprrafopredeter"/>
    <w:uiPriority w:val="99"/>
    <w:semiHidden/>
    <w:unhideWhenUsed/>
    <w:rsid w:val="00B02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90847">
      <w:bodyDiv w:val="1"/>
      <w:marLeft w:val="0"/>
      <w:marRight w:val="0"/>
      <w:marTop w:val="0"/>
      <w:marBottom w:val="0"/>
      <w:divBdr>
        <w:top w:val="none" w:sz="0" w:space="0" w:color="auto"/>
        <w:left w:val="none" w:sz="0" w:space="0" w:color="auto"/>
        <w:bottom w:val="none" w:sz="0" w:space="0" w:color="auto"/>
        <w:right w:val="none" w:sz="0" w:space="0" w:color="auto"/>
      </w:divBdr>
      <w:divsChild>
        <w:div w:id="781726689">
          <w:marLeft w:val="0"/>
          <w:marRight w:val="0"/>
          <w:marTop w:val="0"/>
          <w:marBottom w:val="0"/>
          <w:divBdr>
            <w:top w:val="none" w:sz="0" w:space="0" w:color="auto"/>
            <w:left w:val="none" w:sz="0" w:space="0" w:color="auto"/>
            <w:bottom w:val="none" w:sz="0" w:space="0" w:color="auto"/>
            <w:right w:val="none" w:sz="0" w:space="0" w:color="auto"/>
          </w:divBdr>
          <w:divsChild>
            <w:div w:id="646476109">
              <w:marLeft w:val="0"/>
              <w:marRight w:val="0"/>
              <w:marTop w:val="0"/>
              <w:marBottom w:val="600"/>
              <w:divBdr>
                <w:top w:val="none" w:sz="0" w:space="0" w:color="auto"/>
                <w:left w:val="none" w:sz="0" w:space="0" w:color="auto"/>
                <w:bottom w:val="none" w:sz="0" w:space="0" w:color="auto"/>
                <w:right w:val="none" w:sz="0" w:space="0" w:color="auto"/>
              </w:divBdr>
              <w:divsChild>
                <w:div w:id="13899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49795">
          <w:marLeft w:val="0"/>
          <w:marRight w:val="0"/>
          <w:marTop w:val="0"/>
          <w:marBottom w:val="0"/>
          <w:divBdr>
            <w:top w:val="none" w:sz="0" w:space="0" w:color="auto"/>
            <w:left w:val="none" w:sz="0" w:space="0" w:color="auto"/>
            <w:bottom w:val="none" w:sz="0" w:space="0" w:color="auto"/>
            <w:right w:val="none" w:sz="0" w:space="0" w:color="auto"/>
          </w:divBdr>
          <w:divsChild>
            <w:div w:id="1517378233">
              <w:marLeft w:val="0"/>
              <w:marRight w:val="0"/>
              <w:marTop w:val="0"/>
              <w:marBottom w:val="0"/>
              <w:divBdr>
                <w:top w:val="none" w:sz="0" w:space="0" w:color="auto"/>
                <w:left w:val="none" w:sz="0" w:space="0" w:color="auto"/>
                <w:bottom w:val="none" w:sz="0" w:space="0" w:color="auto"/>
                <w:right w:val="none" w:sz="0" w:space="0" w:color="auto"/>
              </w:divBdr>
              <w:divsChild>
                <w:div w:id="1923643248">
                  <w:marLeft w:val="-1275"/>
                  <w:marRight w:val="0"/>
                  <w:marTop w:val="0"/>
                  <w:marBottom w:val="0"/>
                  <w:divBdr>
                    <w:top w:val="none" w:sz="0" w:space="0" w:color="auto"/>
                    <w:left w:val="none" w:sz="0" w:space="0" w:color="auto"/>
                    <w:bottom w:val="none" w:sz="0" w:space="0" w:color="auto"/>
                    <w:right w:val="none" w:sz="0" w:space="0" w:color="auto"/>
                  </w:divBdr>
                </w:div>
                <w:div w:id="258298888">
                  <w:marLeft w:val="0"/>
                  <w:marRight w:val="0"/>
                  <w:marTop w:val="0"/>
                  <w:marBottom w:val="0"/>
                  <w:divBdr>
                    <w:top w:val="none" w:sz="0" w:space="0" w:color="auto"/>
                    <w:left w:val="none" w:sz="0" w:space="0" w:color="auto"/>
                    <w:bottom w:val="none" w:sz="0" w:space="0" w:color="auto"/>
                    <w:right w:val="none" w:sz="0" w:space="0" w:color="auto"/>
                  </w:divBdr>
                  <w:divsChild>
                    <w:div w:id="719402436">
                      <w:marLeft w:val="0"/>
                      <w:marRight w:val="0"/>
                      <w:marTop w:val="0"/>
                      <w:marBottom w:val="0"/>
                      <w:divBdr>
                        <w:top w:val="none" w:sz="0" w:space="0" w:color="auto"/>
                        <w:left w:val="none" w:sz="0" w:space="0" w:color="auto"/>
                        <w:bottom w:val="none" w:sz="0" w:space="0" w:color="auto"/>
                        <w:right w:val="none" w:sz="0" w:space="0" w:color="auto"/>
                      </w:divBdr>
                    </w:div>
                    <w:div w:id="687485442">
                      <w:marLeft w:val="0"/>
                      <w:marRight w:val="0"/>
                      <w:marTop w:val="0"/>
                      <w:marBottom w:val="0"/>
                      <w:divBdr>
                        <w:top w:val="none" w:sz="0" w:space="0" w:color="auto"/>
                        <w:left w:val="none" w:sz="0" w:space="0" w:color="auto"/>
                        <w:bottom w:val="none" w:sz="0" w:space="0" w:color="auto"/>
                        <w:right w:val="none" w:sz="0" w:space="0" w:color="auto"/>
                      </w:divBdr>
                      <w:divsChild>
                        <w:div w:id="824276352">
                          <w:marLeft w:val="0"/>
                          <w:marRight w:val="0"/>
                          <w:marTop w:val="0"/>
                          <w:marBottom w:val="0"/>
                          <w:divBdr>
                            <w:top w:val="single" w:sz="36" w:space="8" w:color="DACFCF"/>
                            <w:left w:val="single" w:sz="36" w:space="0" w:color="DACFCF"/>
                            <w:bottom w:val="single" w:sz="36" w:space="8" w:color="DACFCF"/>
                            <w:right w:val="single" w:sz="36" w:space="0" w:color="DACFCF"/>
                          </w:divBdr>
                        </w:div>
                        <w:div w:id="364647660">
                          <w:marLeft w:val="0"/>
                          <w:marRight w:val="0"/>
                          <w:marTop w:val="0"/>
                          <w:marBottom w:val="450"/>
                          <w:divBdr>
                            <w:top w:val="none" w:sz="0" w:space="0" w:color="auto"/>
                            <w:left w:val="none" w:sz="0" w:space="0" w:color="auto"/>
                            <w:bottom w:val="none" w:sz="0" w:space="0" w:color="auto"/>
                            <w:right w:val="none" w:sz="0" w:space="0" w:color="auto"/>
                          </w:divBdr>
                          <w:divsChild>
                            <w:div w:id="1432319755">
                              <w:marLeft w:val="0"/>
                              <w:marRight w:val="0"/>
                              <w:marTop w:val="0"/>
                              <w:marBottom w:val="0"/>
                              <w:divBdr>
                                <w:top w:val="none" w:sz="0" w:space="0" w:color="auto"/>
                                <w:left w:val="none" w:sz="0" w:space="0" w:color="auto"/>
                                <w:bottom w:val="none" w:sz="0" w:space="0" w:color="auto"/>
                                <w:right w:val="none" w:sz="0" w:space="0" w:color="auto"/>
                              </w:divBdr>
                            </w:div>
                          </w:divsChild>
                        </w:div>
                        <w:div w:id="1076317015">
                          <w:blockQuote w:val="1"/>
                          <w:marLeft w:val="0"/>
                          <w:marRight w:val="0"/>
                          <w:marTop w:val="0"/>
                          <w:marBottom w:val="300"/>
                          <w:divBdr>
                            <w:top w:val="none" w:sz="0" w:space="0" w:color="auto"/>
                            <w:left w:val="none" w:sz="0" w:space="0" w:color="auto"/>
                            <w:bottom w:val="none" w:sz="0" w:space="0" w:color="auto"/>
                            <w:right w:val="none" w:sz="0" w:space="0" w:color="auto"/>
                          </w:divBdr>
                        </w:div>
                        <w:div w:id="836462780">
                          <w:marLeft w:val="0"/>
                          <w:marRight w:val="0"/>
                          <w:marTop w:val="0"/>
                          <w:marBottom w:val="450"/>
                          <w:divBdr>
                            <w:top w:val="none" w:sz="0" w:space="0" w:color="auto"/>
                            <w:left w:val="none" w:sz="0" w:space="0" w:color="auto"/>
                            <w:bottom w:val="none" w:sz="0" w:space="0" w:color="auto"/>
                            <w:right w:val="none" w:sz="0" w:space="0" w:color="auto"/>
                          </w:divBdr>
                          <w:divsChild>
                            <w:div w:id="1571961674">
                              <w:marLeft w:val="0"/>
                              <w:marRight w:val="0"/>
                              <w:marTop w:val="0"/>
                              <w:marBottom w:val="0"/>
                              <w:divBdr>
                                <w:top w:val="none" w:sz="0" w:space="0" w:color="auto"/>
                                <w:left w:val="none" w:sz="0" w:space="0" w:color="auto"/>
                                <w:bottom w:val="none" w:sz="0" w:space="0" w:color="auto"/>
                                <w:right w:val="none" w:sz="0" w:space="0" w:color="auto"/>
                              </w:divBdr>
                            </w:div>
                          </w:divsChild>
                        </w:div>
                        <w:div w:id="114566847">
                          <w:marLeft w:val="0"/>
                          <w:marRight w:val="0"/>
                          <w:marTop w:val="0"/>
                          <w:marBottom w:val="450"/>
                          <w:divBdr>
                            <w:top w:val="none" w:sz="0" w:space="0" w:color="auto"/>
                            <w:left w:val="none" w:sz="0" w:space="0" w:color="auto"/>
                            <w:bottom w:val="none" w:sz="0" w:space="0" w:color="auto"/>
                            <w:right w:val="none" w:sz="0" w:space="0" w:color="auto"/>
                          </w:divBdr>
                          <w:divsChild>
                            <w:div w:id="325671892">
                              <w:marLeft w:val="0"/>
                              <w:marRight w:val="0"/>
                              <w:marTop w:val="0"/>
                              <w:marBottom w:val="0"/>
                              <w:divBdr>
                                <w:top w:val="none" w:sz="0" w:space="0" w:color="auto"/>
                                <w:left w:val="none" w:sz="0" w:space="0" w:color="auto"/>
                                <w:bottom w:val="none" w:sz="0" w:space="0" w:color="auto"/>
                                <w:right w:val="none" w:sz="0" w:space="0" w:color="auto"/>
                              </w:divBdr>
                            </w:div>
                          </w:divsChild>
                        </w:div>
                        <w:div w:id="1015375994">
                          <w:marLeft w:val="0"/>
                          <w:marRight w:val="0"/>
                          <w:marTop w:val="0"/>
                          <w:marBottom w:val="450"/>
                          <w:divBdr>
                            <w:top w:val="none" w:sz="0" w:space="0" w:color="auto"/>
                            <w:left w:val="none" w:sz="0" w:space="0" w:color="auto"/>
                            <w:bottom w:val="none" w:sz="0" w:space="0" w:color="auto"/>
                            <w:right w:val="none" w:sz="0" w:space="0" w:color="auto"/>
                          </w:divBdr>
                          <w:divsChild>
                            <w:div w:id="1901592784">
                              <w:marLeft w:val="0"/>
                              <w:marRight w:val="0"/>
                              <w:marTop w:val="0"/>
                              <w:marBottom w:val="0"/>
                              <w:divBdr>
                                <w:top w:val="none" w:sz="0" w:space="0" w:color="auto"/>
                                <w:left w:val="none" w:sz="0" w:space="0" w:color="auto"/>
                                <w:bottom w:val="none" w:sz="0" w:space="0" w:color="auto"/>
                                <w:right w:val="none" w:sz="0" w:space="0" w:color="auto"/>
                              </w:divBdr>
                            </w:div>
                          </w:divsChild>
                        </w:div>
                        <w:div w:id="929973991">
                          <w:marLeft w:val="0"/>
                          <w:marRight w:val="0"/>
                          <w:marTop w:val="0"/>
                          <w:marBottom w:val="450"/>
                          <w:divBdr>
                            <w:top w:val="none" w:sz="0" w:space="0" w:color="auto"/>
                            <w:left w:val="none" w:sz="0" w:space="0" w:color="auto"/>
                            <w:bottom w:val="none" w:sz="0" w:space="0" w:color="auto"/>
                            <w:right w:val="none" w:sz="0" w:space="0" w:color="auto"/>
                          </w:divBdr>
                          <w:divsChild>
                            <w:div w:id="872423094">
                              <w:marLeft w:val="0"/>
                              <w:marRight w:val="0"/>
                              <w:marTop w:val="0"/>
                              <w:marBottom w:val="0"/>
                              <w:divBdr>
                                <w:top w:val="none" w:sz="0" w:space="0" w:color="auto"/>
                                <w:left w:val="none" w:sz="0" w:space="0" w:color="auto"/>
                                <w:bottom w:val="none" w:sz="0" w:space="0" w:color="auto"/>
                                <w:right w:val="none" w:sz="0" w:space="0" w:color="auto"/>
                              </w:divBdr>
                            </w:div>
                          </w:divsChild>
                        </w:div>
                        <w:div w:id="335813208">
                          <w:marLeft w:val="0"/>
                          <w:marRight w:val="0"/>
                          <w:marTop w:val="0"/>
                          <w:marBottom w:val="450"/>
                          <w:divBdr>
                            <w:top w:val="none" w:sz="0" w:space="0" w:color="auto"/>
                            <w:left w:val="none" w:sz="0" w:space="0" w:color="auto"/>
                            <w:bottom w:val="none" w:sz="0" w:space="0" w:color="auto"/>
                            <w:right w:val="none" w:sz="0" w:space="0" w:color="auto"/>
                          </w:divBdr>
                          <w:divsChild>
                            <w:div w:id="746070416">
                              <w:marLeft w:val="0"/>
                              <w:marRight w:val="0"/>
                              <w:marTop w:val="0"/>
                              <w:marBottom w:val="0"/>
                              <w:divBdr>
                                <w:top w:val="none" w:sz="0" w:space="0" w:color="auto"/>
                                <w:left w:val="none" w:sz="0" w:space="0" w:color="auto"/>
                                <w:bottom w:val="none" w:sz="0" w:space="0" w:color="auto"/>
                                <w:right w:val="none" w:sz="0" w:space="0" w:color="auto"/>
                              </w:divBdr>
                            </w:div>
                          </w:divsChild>
                        </w:div>
                        <w:div w:id="881360694">
                          <w:marLeft w:val="0"/>
                          <w:marRight w:val="0"/>
                          <w:marTop w:val="0"/>
                          <w:marBottom w:val="450"/>
                          <w:divBdr>
                            <w:top w:val="none" w:sz="0" w:space="0" w:color="auto"/>
                            <w:left w:val="none" w:sz="0" w:space="0" w:color="auto"/>
                            <w:bottom w:val="none" w:sz="0" w:space="0" w:color="auto"/>
                            <w:right w:val="none" w:sz="0" w:space="0" w:color="auto"/>
                          </w:divBdr>
                          <w:divsChild>
                            <w:div w:id="762604026">
                              <w:marLeft w:val="0"/>
                              <w:marRight w:val="0"/>
                              <w:marTop w:val="0"/>
                              <w:marBottom w:val="0"/>
                              <w:divBdr>
                                <w:top w:val="none" w:sz="0" w:space="0" w:color="auto"/>
                                <w:left w:val="none" w:sz="0" w:space="0" w:color="auto"/>
                                <w:bottom w:val="none" w:sz="0" w:space="0" w:color="auto"/>
                                <w:right w:val="none" w:sz="0" w:space="0" w:color="auto"/>
                              </w:divBdr>
                            </w:div>
                          </w:divsChild>
                        </w:div>
                        <w:div w:id="1813793271">
                          <w:marLeft w:val="0"/>
                          <w:marRight w:val="0"/>
                          <w:marTop w:val="0"/>
                          <w:marBottom w:val="450"/>
                          <w:divBdr>
                            <w:top w:val="none" w:sz="0" w:space="0" w:color="auto"/>
                            <w:left w:val="none" w:sz="0" w:space="0" w:color="auto"/>
                            <w:bottom w:val="none" w:sz="0" w:space="0" w:color="auto"/>
                            <w:right w:val="none" w:sz="0" w:space="0" w:color="auto"/>
                          </w:divBdr>
                          <w:divsChild>
                            <w:div w:id="2064938532">
                              <w:marLeft w:val="0"/>
                              <w:marRight w:val="0"/>
                              <w:marTop w:val="0"/>
                              <w:marBottom w:val="0"/>
                              <w:divBdr>
                                <w:top w:val="none" w:sz="0" w:space="0" w:color="auto"/>
                                <w:left w:val="none" w:sz="0" w:space="0" w:color="auto"/>
                                <w:bottom w:val="none" w:sz="0" w:space="0" w:color="auto"/>
                                <w:right w:val="none" w:sz="0" w:space="0" w:color="auto"/>
                              </w:divBdr>
                            </w:div>
                          </w:divsChild>
                        </w:div>
                        <w:div w:id="2078934030">
                          <w:marLeft w:val="0"/>
                          <w:marRight w:val="0"/>
                          <w:marTop w:val="0"/>
                          <w:marBottom w:val="450"/>
                          <w:divBdr>
                            <w:top w:val="none" w:sz="0" w:space="0" w:color="auto"/>
                            <w:left w:val="none" w:sz="0" w:space="0" w:color="auto"/>
                            <w:bottom w:val="none" w:sz="0" w:space="0" w:color="auto"/>
                            <w:right w:val="none" w:sz="0" w:space="0" w:color="auto"/>
                          </w:divBdr>
                          <w:divsChild>
                            <w:div w:id="8339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767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2023/06/20/Sinodo_Sinodalidad_Instrumentum_laboris.pdf"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religiondigital.org/jesus_bastante/"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religiondigital.org/vaticano/Vaticano-divorciados-LGTBQ-Iglesia-instrumentum-laboris-sinodo-celibato-diaconado-primado-democracia_0_2570742921.html?utm_source=newsletter&amp;utm_medium=email&amp;utm_campaign=cuales_son_las_preguntas_del_sinodo&amp;utm_term=2023-06-21" TargetMode="External"/><Relationship Id="rId1" Type="http://schemas.openxmlformats.org/officeDocument/2006/relationships/numbering" Target="numbering.xml"/><Relationship Id="rId6" Type="http://schemas.openxmlformats.org/officeDocument/2006/relationships/hyperlink" Target="https://www.religiondigital.org/2023/06/20/Sinodo_Sinodalidad_Instrumentum_laboris.pdf"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religiondigital.org/5w/todo-sinodo-2021-2023-sinodalidad-iglesia-sinodal_0_2380261951.htm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religiondigital.org/boletin/?utm_source=web&amp;utm_medium=noticia&amp;utm_campaign=23"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2660</Words>
  <Characters>14630</Characters>
  <Application>Microsoft Office Word</Application>
  <DocSecurity>0</DocSecurity>
  <Lines>121</Lines>
  <Paragraphs>34</Paragraphs>
  <ScaleCrop>false</ScaleCrop>
  <Company/>
  <LinksUpToDate>false</LinksUpToDate>
  <CharactersWithSpaces>17256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2023-06-21T17:47:00Z</dcterms:created>
  <dcterms:modified xsi:type="dcterms:W3CDTF">2023-06-21T17:49:00Z</dcterms:modified>
</cp:coreProperties>
</file>