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FFCB" w14:textId="77777777" w:rsidR="007150F2" w:rsidRPr="007150F2" w:rsidRDefault="007150F2" w:rsidP="007150F2">
      <w:pPr>
        <w:spacing w:after="0" w:line="240" w:lineRule="auto"/>
        <w:jc w:val="center"/>
        <w:outlineLvl w:val="0"/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</w:pP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Extrativismo</w:t>
      </w:r>
      <w:proofErr w:type="spellEnd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 xml:space="preserve"> é </w:t>
      </w: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uma</w:t>
      </w:r>
      <w:proofErr w:type="spellEnd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 xml:space="preserve"> </w:t>
      </w: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neocolonização</w:t>
      </w:r>
      <w:proofErr w:type="spellEnd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 xml:space="preserve"> de países e </w:t>
      </w: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territórios</w:t>
      </w:r>
      <w:proofErr w:type="spellEnd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 xml:space="preserve">. </w:t>
      </w: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Conferência</w:t>
      </w:r>
      <w:proofErr w:type="spellEnd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 xml:space="preserve"> de Raúl </w:t>
      </w:r>
      <w:proofErr w:type="spellStart"/>
      <w:r w:rsidRPr="007150F2">
        <w:rPr>
          <w:rFonts w:ascii="Merriweather" w:eastAsia="Times New Roman" w:hAnsi="Merriweather" w:cs="Times New Roman"/>
          <w:b/>
          <w:bCs/>
          <w:color w:val="ED7D31" w:themeColor="accent2"/>
          <w:kern w:val="36"/>
          <w:sz w:val="44"/>
          <w:szCs w:val="44"/>
          <w:lang w:val="es-UY" w:eastAsia="es-UY"/>
        </w:rPr>
        <w:t>Zibechi</w:t>
      </w:r>
      <w:proofErr w:type="spellEnd"/>
    </w:p>
    <w:p w14:paraId="03A5DA94" w14:textId="77777777" w:rsidR="007150F2" w:rsidRPr="007150F2" w:rsidRDefault="007150F2" w:rsidP="007150F2">
      <w:pPr>
        <w:spacing w:after="0" w:line="240" w:lineRule="auto"/>
        <w:jc w:val="center"/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</w:pPr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Em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conferência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proferida no IHU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ideias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, de 03-11-2022, o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jornalista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e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ativista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político detecta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uma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série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de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violências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imposta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aos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povos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desde a tomada de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seus</w:t>
      </w:r>
      <w:proofErr w:type="spellEnd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 xml:space="preserve"> </w:t>
      </w:r>
      <w:proofErr w:type="spellStart"/>
      <w:r w:rsidRPr="007150F2">
        <w:rPr>
          <w:rFonts w:ascii="Lato" w:eastAsia="Times New Roman" w:hAnsi="Lato" w:cs="Times New Roman"/>
          <w:color w:val="ED7D31" w:themeColor="accent2"/>
          <w:sz w:val="33"/>
          <w:szCs w:val="33"/>
          <w:lang w:val="es-UY" w:eastAsia="es-UY"/>
        </w:rPr>
        <w:t>espaços</w:t>
      </w:r>
      <w:proofErr w:type="spellEnd"/>
    </w:p>
    <w:p w14:paraId="34D88A8B" w14:textId="77777777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52564309" w14:textId="07BE914A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 período das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colonizações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inaugurado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XVI,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impôs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humanas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ecossistemas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Levamos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de fato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houve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e, desde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ensaiamos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chamadas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"https://www.ihuonline.unisinos.br/edicao/431"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visões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decoloniais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visavam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restaurar,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medida, os saberes, as formas de vida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aprender, especialmente,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ambiente.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problema é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retornam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tempos em tempos. É 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jornalista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analista político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uruguaio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6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Raúl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Zibechi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promovida pelo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Humanitas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Unisinos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 IHU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“Podemos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"https://www.ihu.unisinos.br/616222"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neocolonização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”, constata.</w:t>
      </w:r>
    </w:p>
    <w:p w14:paraId="3C7AA02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5256A4A2" w14:textId="475F2268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explica que “no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modelo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roubo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obstáculo para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capital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plano ideal das grandes empresas é o despejo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inteiras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poder remodelar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converter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bens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mercadorias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commodities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requinte do que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passados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subjugando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plano que provoca grandes problemas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ambientais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polarização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provoca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enfraquecimento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aparelhos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acrescenta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7B7BDA2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60F6B810" w14:textId="4EF2BF20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longo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detalha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quadro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vivido. “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hyperlink r:id="rId7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250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conflitos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por causa da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mineração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180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causa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água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porque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provoca, naturalmente,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camponeses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quilombolas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defensivas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19B0F35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4001626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analista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reflete sobre 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conjuntura política latino-americana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é bastante cauteloso sobre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estarmos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8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nova onda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progressista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continente. Para ele, “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 xml:space="preserve">diferente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efetivas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falando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realizar.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caso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claro é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Alberto Fernández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enfrenta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terrível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faz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mapuches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país”, observa. E indaga: “O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Lula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Geraldo Alckmin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centrista,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tradicional,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dificilmente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facilitar que Lula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Evidentemente que,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?”</w:t>
      </w:r>
    </w:p>
    <w:p w14:paraId="425EB5ED" w14:textId="77777777" w:rsidR="007150F2" w:rsidRPr="007150F2" w:rsidRDefault="007150F2" w:rsidP="007150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7150F2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274D5EF0" wp14:editId="28492DEA">
            <wp:extent cx="5334000" cy="3556000"/>
            <wp:effectExtent l="0" t="0" r="0" b="6350"/>
            <wp:docPr id="1" name="Imagen 1" descr="Hombre con barba y sombre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Hombre con barba y sombre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86" cy="355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2455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Zibechi</w:t>
      </w:r>
      <w:proofErr w:type="spellEnd"/>
    </w:p>
    <w:p w14:paraId="3D5CA58C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Foto: ssb.org</w:t>
      </w:r>
    </w:p>
    <w:p w14:paraId="2647CF71" w14:textId="1A733790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hyperlink r:id="rId10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Raúl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Zibechi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escritor,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jornalista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pensador-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ativista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uruguaio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dedicado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América Latina. Entre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Latiendo resistencia: mundos nuevos y guerras de despojo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(Oaxaca: El Rebozo, 2015),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Descolonizar el pensamiento crítico y las prácticas emancipatorias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(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Quimantú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2014;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Desdeabajo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2015) 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Preservar y compartir: bienes comunes y movimientos sociales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(Buenos Aires: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Mardulce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2013).</w:t>
      </w:r>
    </w:p>
    <w:p w14:paraId="512742B6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2BEDE4E3" w14:textId="6A37312F" w:rsid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Confira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a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transcrição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da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conferência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na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forma de entrevista.</w:t>
      </w:r>
    </w:p>
    <w:p w14:paraId="6266B595" w14:textId="77777777" w:rsidR="007150F2" w:rsidRP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</w:p>
    <w:p w14:paraId="6072B334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– Como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descreve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modelo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extrativista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2B51AA75" w14:textId="3AA6DF1B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–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existe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modelo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capital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que chamamos de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"https://www.ihu.unisinos.br/561407"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expõe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11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David Harvey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focado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agronegócio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grandes obras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infraestrutura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chamamos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urbano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especulação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imobiliária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responsável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desigualdade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países.</w:t>
      </w:r>
    </w:p>
    <w:p w14:paraId="2EC9EDD2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70518CD" w14:textId="13B5510E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modelo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ocupação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vertical e militarizada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é o caso da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agronegócio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São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assimétricas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grandes empresas,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multinacionais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Estados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São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relacionam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contexto,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redor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agronegócio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extrativista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intervenção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potente,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mudar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legislação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Estados-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os países,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aprovados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novos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Códigos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grandes empresas.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significa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ataque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agricultura familiar e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soberania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alimentar dos países.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que chamamos de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total porque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intervenções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limitar o poder do Estado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nos estados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municípios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iniciativas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convencer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atividade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Onde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iniciativas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feminicídio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ataque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às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mulheres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características.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períodos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empreendimentos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minerais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casos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feminicídio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crescerem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DF34FAB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1995698F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significa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ataque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à agricultura familiar e à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soberania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alimentar dos países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13FF5ACF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2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464B7218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sentido, podemos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neocolonização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No modelo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roubo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obstáculo para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capital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plano ideal das grandes empresas é o despejo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inteiras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poder remodelar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natureza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converter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bens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mercadorias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commodities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plano que provoca grandes problemas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ambientais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polarização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todas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provoca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enfraquecimento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aparelhos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que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coloca em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democracia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governabilidade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países.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descrever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Bolívia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historicamente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economistas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exportação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soja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divisas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e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exportação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profunda.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modelo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extrativista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provocou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desindustrialização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dramático porque a cultura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classe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trabalhadora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entra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todos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aparelhos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sindicatos, criados a partir do modelo industrial,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entraram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764D3B7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neocolonização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países 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521AFAE1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3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70177D0D" w14:textId="77777777" w:rsidR="007150F2" w:rsidRP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Disputa por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terras</w:t>
      </w:r>
      <w:proofErr w:type="spellEnd"/>
    </w:p>
    <w:p w14:paraId="50254A77" w14:textId="6A4414D5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No período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hegemonia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cultura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operária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era normal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"https://www.ihuonline.unisinos.br/edicao/214"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Teologia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Libertação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das </w:t>
      </w:r>
      <w:hyperlink r:id="rId14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comunidades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eclesiais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de base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modelo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igrejas evangélicas 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pentecostais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parte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política, social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cultural.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recolonização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sociedades é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importante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disputada pelas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grandes empresas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Estudos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até 40%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 está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controle das grandes empresas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agronegócio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Estamos falando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100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hectares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indígenas, 100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conservação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tradicionais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ribeirinhos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pescadores, 88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hectares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assentamentos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reforma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agrária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propriedades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quilombolas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estabelecimentos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médios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agricultores. É a mesma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Estamos falando de 400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milhões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hectares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controle do grande capital,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mineradoras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agronegócio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grandes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multinacionais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território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está em disputa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está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especulação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parte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0E014AE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41A6A30D" w14:textId="77777777" w:rsidR="007150F2" w:rsidRP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Conflitos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na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América Latina</w:t>
      </w:r>
    </w:p>
    <w:p w14:paraId="30CA122D" w14:textId="3F86473B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 250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causa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180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causa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água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porque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provoca, naturalmente,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camponeses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quilombolas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defensivas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modelo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modifica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 de 1980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concentradas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ABC Paulista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grandes empresas,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D676B1E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532803C4" w14:textId="238518B8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centro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aí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remodelação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conflito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nova porque,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operárias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naturalmente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organizavam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sindicatos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estabelecidas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reconhecidas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Estado,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diversidade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delas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articuladas –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limites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modelo neocolonial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profundamente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destrutivo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que pode ser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normalmente,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41214DF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4125519E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América Latina,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250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por causa da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mineração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180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conflitos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por causa da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água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4FB8E4F4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15" w:history="1">
        <w:r w:rsidRPr="007150F2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03343438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– Como os Estados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corroboram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extrativismo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nos países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América Latina?</w:t>
      </w:r>
    </w:p>
    <w:p w14:paraId="04C3F814" w14:textId="04B79A8A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–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Estado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adequado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 </w:t>
      </w:r>
      <w:hyperlink r:id="rId16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David Harvey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 está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Norte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onde é normal que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principais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privatizações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as patentes das grandes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completamente diferente.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fundamental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compreender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formas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do Estado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casos.</w:t>
      </w:r>
    </w:p>
    <w:p w14:paraId="12B0465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6D10BF6D" w14:textId="0F87903D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o Estado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apropriado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sequestrado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pelo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1%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ricos, o </w:t>
      </w:r>
      <w:hyperlink r:id="rId17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capital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financeiro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feita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blindagem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mecanismos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capital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financeiro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concentrado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volátil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sequestrar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Estados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legislação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internacional,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administradores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treinados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gerenciar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acordo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globalização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modernização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paralelo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Armadas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polícia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capitalismo de controle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vigilância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afaste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internacionais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marcado como populista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autoritário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sucede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EB527B6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68CB738" w14:textId="66C149C1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forma, grandes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corporações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Norte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dependentes dos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EUA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Fundo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Monetário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Internacional – FMI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derrubar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apelando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gama de métodos, desde golpes suaves, como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 </w:t>
      </w:r>
      <w:hyperlink r:id="rId18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Manuel Zelaya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Honduras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 2009, e por </w:t>
      </w:r>
      <w:hyperlink r:id="rId19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Fernando Lugo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Paraguai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2012,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desestabilização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caso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evidente é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Cuba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60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Este é o panorama: o Estado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remodelado em todo o mundo, e em toda 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para servir à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0376CBF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4F5DA8FF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 Estado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apropriado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sequestrado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pelo 1% da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ricos, o capital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financeiro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57292DAE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0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1CA4D64" w14:textId="0953A9FD" w:rsid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Olhar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as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instituições</w:t>
      </w:r>
      <w:proofErr w:type="spellEnd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 xml:space="preserve"> a partir de </w:t>
      </w:r>
      <w:proofErr w:type="spellStart"/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baixo</w:t>
      </w:r>
      <w:proofErr w:type="spellEnd"/>
    </w:p>
    <w:p w14:paraId="69AD1724" w14:textId="77777777" w:rsidR="007150F2" w:rsidRPr="007150F2" w:rsidRDefault="007150F2" w:rsidP="007150F2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</w:p>
    <w:p w14:paraId="2907E5B9" w14:textId="3D9767B3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Normalmente,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de cima.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Congresso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tribunais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justiça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presidência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sucede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olharmos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baixo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favelas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O que observamos? Observamos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</w:t>
      </w:r>
      <w:proofErr w:type="spellEnd"/>
      <w:r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polícias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milícias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narcotraficantes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igrejas evangélicas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capitalismo de controle nos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Trata-se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controle completamente militarizado, como acorre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diferentemente do controle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nobres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 observa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visto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Medellín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Colômbia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Bogotá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em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Rosário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Buenos Aires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Santiago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Chile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observamos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militarizada de controle e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estatais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"https://www.ihu.unisinos.br/606272"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polícia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narcoevangélicos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4721FBB" w14:textId="77777777" w:rsidR="007150F2" w:rsidRPr="007150F2" w:rsidRDefault="007150F2" w:rsidP="007150F2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2F04AF5E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Em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cidades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 América Latina, observamos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forma militarizada de controle e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alianças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estatais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polícia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narcoevangélicos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61C875B9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1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2592C7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visitei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território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Mapuche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Chile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pude observar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incrível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militarização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 e do narcotráfico.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Equador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partes da América Latina,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crescimento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narcotráfico, como no México,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Guatemala,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Colômbia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onde o narcotráfico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instalou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sistema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permanecer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de ataque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controle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20BF7E0" w14:textId="593843BD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hyperlink r:id="rId22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José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Cláudio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Alves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analista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realidades.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que o matador e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miliciano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Estado; eles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agentes do Estado,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"https://www.ihu.unisinos.br/587500"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o Estado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 em 2019: “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me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venha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falar que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ausência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 Estado. É o Estado que determina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quem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operar o controle militarizado e 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segurança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daquela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área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.”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mesma entrevista, ele explica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funcionamento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milícias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favelas,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áreas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habitação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programa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Casa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Vida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A base de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milícia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é o controle militarizado de áreas geográficas.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espaço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urbano em si se transforma em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fonte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ganho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Quando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se controla militarmente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espaço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urbano,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seja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armas,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seja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meio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ganha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dinheiro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.”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zona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nobre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favelas,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Baixada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Fluminense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Rio de Janeiro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periferias,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São Paulo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Sul.</w:t>
      </w:r>
    </w:p>
    <w:p w14:paraId="5E8B9EC6" w14:textId="2D56E819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A12DC92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030FEA6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discussão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esquerda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no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pensamento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crítico de como mudar a forma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agir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armadas </w:t>
      </w:r>
      <w:proofErr w:type="gram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policiais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22A621F0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3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5A70C2F0" w14:textId="77777777" w:rsidR="007150F2" w:rsidRPr="007150F2" w:rsidRDefault="007150F2" w:rsidP="007150F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</w:pPr>
      <w:r w:rsidRPr="007150F2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Controle militarizado</w:t>
      </w:r>
    </w:p>
    <w:p w14:paraId="32F3475B" w14:textId="40A4D6E8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importante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considerar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controle militarizado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brutal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favelas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gatonet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pagar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tráfico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trinta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empresas privadas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favelas.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gás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caro. Se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botijão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gás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favela,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problemas.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prédios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Casa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Vida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controlada pelo tráfico.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controle: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estatal, presente 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daqueles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setores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precisam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formas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apropriação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características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pobres.</w:t>
      </w:r>
    </w:p>
    <w:p w14:paraId="0ED56484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A05438D" w14:textId="2B7DD473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Naturalmente,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de controle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política.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José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Cláudio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Alves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"https://www.ihu.unisinos.br/514571"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esquadrão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ditadura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legou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herdeiro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milícias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Baixada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Fluminense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resultado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70%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vota em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Bogotá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moradores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hyperlink r:id="rId24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[Álvaro] Uribe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é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da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Colômbia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complexa: o modelo neocolonial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controle territorial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militarizado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pandemia,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claro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vários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países.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Chile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Sebastián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[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Piñera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]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aproveitou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controlar,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intensidade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plena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54C17F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6FD5BB9" w14:textId="234056EB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mecanismos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existe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mudar no curto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prazo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Os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chamados de “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mudar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poderiam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mudar a cultura e a forma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agir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"https://www.ihuonline.unisinos.br/edicao/497"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polícia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militar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crítico de como mudar a forma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agir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armadas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difícil de mudar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controlar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democraticamente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Este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grandes problemas da democracia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problema é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privatização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crescente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aparelhos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repressivos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armados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países existe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enorme de guardas privados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controle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6533655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</w:p>
    <w:p w14:paraId="70B4D0CC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três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últimos anos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importantes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América Latina porque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houve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63BB2768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5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DE3A004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– Que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balanço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faz das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manifestações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ocorridas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nos últimos anos em países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América Latina?</w:t>
      </w:r>
    </w:p>
    <w:p w14:paraId="407E8E1F" w14:textId="71584739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últimos anos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importantes para 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porque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houve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acumulação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 2019 a 2022,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"https://www.ihu.unisinos.br/categorias/593303-onda-de-protestos-no-equador-se-transforma-em-tsunami"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Equador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protagonizadas pela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Confederação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Nacionalidades Indígenas do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Equador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 CONAIE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representa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originários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organizados. Mas,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última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pobres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No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Equador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exitosas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tiveram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resultados positivos.</w:t>
      </w:r>
    </w:p>
    <w:p w14:paraId="62B148B8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521F1ED7" w14:textId="463FB427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"https://www.ihu.unisinos.br/categorias/594670-a-morte-de-um-jovem-simbolo-dos-protestos-na-colombia-atingido-por-bomba-de-gas-da-policia"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Colômbia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2019 e 2021,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Colômbia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São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urbanas porque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urbana. No centro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Cali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negra,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criados 25 pontos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meses,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paralisação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atividades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pontos onde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unida,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liberava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criar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locais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alimentação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saúde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brincadeiras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arte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popular.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levante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guarda indígena de Cauca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grandes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deslegitimar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Uribe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70, 80%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4EF18EF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</w:p>
    <w:p w14:paraId="0EEF074F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das chaves da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é 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mobilização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interior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02F81614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26" w:history="1">
        <w:r w:rsidRPr="007150F2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0273AF79" w14:textId="339C375B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grande levante no </w:t>
      </w:r>
      <w:hyperlink r:id="rId27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Chile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2019,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permitiu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modelo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exploração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chileno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começasse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entrar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reconduzido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pelos políticos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criar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"https://www.ihu.unisinos.br/621890"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constituição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acabou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fracassando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diversas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no levante do Chile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criadas 200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assembleias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territoriais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coordenações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setores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Santiago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territorial organizada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importante.</w:t>
      </w:r>
    </w:p>
    <w:p w14:paraId="0B04702F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2B1F5CE6" w14:textId="4450718C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breve levante importante no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"https://www.ihu.unisinos.br/595010"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Peru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juventude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ganhou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impediu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Manuel Merino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Aconteceu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levante de 2018,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Nicarágua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parte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período intenso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América Latina, como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camponeses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Bolívia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regime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ditatorial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autoritário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convocar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convocá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-las.</w:t>
      </w:r>
    </w:p>
    <w:p w14:paraId="5D20E3B8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6D3BA6E8" w14:textId="51CCFE35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Boa parte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reconduzidas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é natural,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através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como o de </w:t>
      </w:r>
      <w:hyperlink r:id="rId28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Gabriel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Boric</w:t>
        </w:r>
        <w:proofErr w:type="spellEnd"/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hyperlink r:id="rId29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Gustavo Petro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hyperlink r:id="rId30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Pedro Castillo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 caso de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Pedro Castillo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sintomático deles.</w:t>
      </w:r>
    </w:p>
    <w:p w14:paraId="40411477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247F1628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possibilidade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3A81CA62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31" w:history="1">
        <w:r w:rsidRPr="007150F2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203DE0E1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– Estamos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diante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segunda onda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América Latina? O que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ela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significa </w:t>
      </w:r>
      <w:proofErr w:type="gram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em que se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difere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00E8D1F6" w14:textId="27E87B1D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– Sim,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falando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onda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realizar.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caso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claro é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Alberto Fernández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Argentina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enfrenta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terrível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faz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mapuches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podemos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realmente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progressistas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Acho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esta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discussão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aberta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CC7CC06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ECB8302" w14:textId="37EAB668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Lula e de Geraldo Alckmin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centrista,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tradicional,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dificilmente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facilitar que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Evidentemente que,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Seguramente,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senhor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Henrique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Meirelles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será 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Ministro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Fazenda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2647E6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606DF037" w14:textId="245258B0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períodos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rebeldia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fortaleceu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14 protocolos de consulta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criados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em 2019 para 26 protocolos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Amazônia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participam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64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 em 48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mostra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expansão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Amazônia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62129EA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74A56989" w14:textId="41519E8B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territorial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wampís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criada em 2015,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autogoverna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urbanos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Cheran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México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Cidade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México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bairros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Chiapas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diversidade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semiautônomos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explicitados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criando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 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amplos,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autogoverno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controle territorial,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autodefesa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de guardas indígenas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partes do continente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latino-americano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64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Amazônia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protocolos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demarcação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sintoma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está em plena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expansão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Vamos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o que sucede nos próximos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ministério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indígenas,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notícia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debate está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aberto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33C1E99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08CE9AC5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Existe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articulação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indígenas no Brasil, mas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ela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precisa se articular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camponeses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quilombolas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as periferias urbanas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79141D8D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32" w:history="1">
        <w:r w:rsidRPr="007150F2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3BEADF3" w14:textId="77777777" w:rsidR="007150F2" w:rsidRPr="007150F2" w:rsidRDefault="007150F2" w:rsidP="007150F2">
      <w:pPr>
        <w:spacing w:after="0" w:line="240" w:lineRule="auto"/>
        <w:rPr>
          <w:rFonts w:ascii="Georgia" w:eastAsia="Times New Roman" w:hAnsi="Georgia" w:cs="Times New Roman"/>
          <w:color w:val="ED7D31" w:themeColor="accent2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IHU –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Quais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os limites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opção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pela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?</w:t>
      </w:r>
    </w:p>
    <w:p w14:paraId="15240358" w14:textId="646EC732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Raúl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>Zibechi</w:t>
      </w:r>
      <w:proofErr w:type="spellEnd"/>
      <w:r w:rsidRPr="007150F2">
        <w:rPr>
          <w:rFonts w:ascii="Georgia" w:eastAsia="Times New Roman" w:hAnsi="Georgia" w:cs="Times New Roman"/>
          <w:b/>
          <w:bCs/>
          <w:color w:val="ED7D31" w:themeColor="accent2"/>
          <w:sz w:val="27"/>
          <w:szCs w:val="27"/>
          <w:lang w:val="es-UY" w:eastAsia="es-UY"/>
        </w:rPr>
        <w:t xml:space="preserve"> 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–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Faço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defende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corrente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limites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arranjo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territorial 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deles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hegemônica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arranjo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territorial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período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tampouco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simples;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complexa.</w:t>
      </w:r>
    </w:p>
    <w:p w14:paraId="08DCAD7F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AA0912D" w14:textId="77777777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segunda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problema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isolamento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isoladas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autônomas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permanecer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relacionar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provavelmente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tradicional dos sindicatos, mas, sim,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caminhar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juntos,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vertical, que normalmente a cultura autonomista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rejeita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simples, mas estas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tarefas: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aprofundar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arranjo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coordenar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articular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Existe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articulação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indígenas no Brasil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 </w:t>
      </w:r>
      <w:hyperlink r:id="rId33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acampamentos que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ocorrem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na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Esplanada dos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Ministérios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todos os anos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se articular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camponeses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quilombolas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periferias urbanas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coordenação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ampla.</w:t>
      </w:r>
      <w:r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</w:p>
    <w:p w14:paraId="18ADD8F8" w14:textId="77777777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972450B" w14:textId="3CEE2FD5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terceiro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problema é como enfrentar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estatal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paramilitar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paraestatal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fazendeiros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Estado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simples. Sabemos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fazíamos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décadas de 1960 e 1970,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é, responder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estatal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falávamos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frente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reacionária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revolucionária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vamos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pacífica 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importante.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que faz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FCF776F" w14:textId="77777777" w:rsidR="007150F2" w:rsidRPr="007150F2" w:rsidRDefault="007150F2" w:rsidP="007150F2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vamos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sair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dessas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crises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sem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comunitária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coletiva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possa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intensificar o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elo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 xml:space="preserve"> a vida – Raúl </w:t>
      </w:r>
      <w:proofErr w:type="spellStart"/>
      <w:r w:rsidRPr="007150F2">
        <w:rPr>
          <w:rFonts w:ascii="Georgia" w:eastAsia="Times New Roman" w:hAnsi="Georgia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  <w:t>Zibechi</w:t>
      </w:r>
      <w:proofErr w:type="spellEnd"/>
    </w:p>
    <w:p w14:paraId="0525BF42" w14:textId="77777777" w:rsidR="007150F2" w:rsidRPr="007150F2" w:rsidRDefault="007150F2" w:rsidP="007150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7"/>
          <w:szCs w:val="27"/>
          <w:lang w:val="es-UY" w:eastAsia="es-UY"/>
        </w:rPr>
      </w:pPr>
      <w:hyperlink r:id="rId34" w:history="1">
        <w:r w:rsidRPr="007150F2">
          <w:rPr>
            <w:rFonts w:ascii="Arial" w:eastAsia="Times New Roman" w:hAnsi="Arial" w:cs="Arial"/>
            <w:b/>
            <w:bCs/>
            <w:i/>
            <w:iCs/>
            <w:color w:val="ED7D31" w:themeColor="accent2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4270A0A" w14:textId="60696CB8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entanto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é: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resistir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fazendeiros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jagunços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do narcotráfico e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indiferença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Estado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sabemos.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Recentemente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visitei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aldeias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zapatistas completamente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isoladas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rodeadas por narcotraficantes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grupos paramilitares em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Chiapas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resistência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difícil.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sabemos 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casos. Permanecer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simples,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tampouco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simples.</w:t>
      </w:r>
    </w:p>
    <w:p w14:paraId="477CCBC0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8B8EAEA" w14:textId="19A156B9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Sabemos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decisões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tomadas pela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existir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vanguarda que dirá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frente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às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décadas de 1960 e 1970, em que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decidida por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brancas,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homens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chegados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universidades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cidades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sucedeu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 o mundo.</w:t>
      </w:r>
    </w:p>
    <w:p w14:paraId="5D88C61B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2918DF36" w14:textId="6324DDE9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finalizar,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gostaria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citar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hyperlink r:id="rId35" w:tgtFrame="_blank" w:history="1"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Flavio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Lazzarin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, em entrevista </w:t>
        </w:r>
        <w:proofErr w:type="spellStart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ao</w:t>
        </w:r>
        <w:proofErr w:type="spellEnd"/>
        <w:r w:rsidRPr="007150F2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IHU</w:t>
        </w:r>
      </w:hyperlink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comentou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brasileiras.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Estou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profundamente convencido de que o voto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mais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consciente, mesmo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nessas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eleições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 voto das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minorias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indígenas 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camponesas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o voto das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mulheres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dos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homoafetivos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, dos negros, das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minorias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abraâmicas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lutam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cotidianamente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seus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corpos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territórios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contra 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violência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a mentira, mostrando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caminhos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para salvar o planeta do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suicídio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Esperam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tudo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sua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luta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benevolência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 Estado, fiel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garçom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do capitalismo, como </w:t>
      </w:r>
      <w:proofErr w:type="spellStart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diria</w:t>
      </w:r>
      <w:proofErr w:type="spellEnd"/>
      <w:r w:rsidRPr="007150F2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o subcomandante Marcos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18622743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3A37EA0B" w14:textId="0888F33C" w:rsid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palavras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Pe.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Lazzarin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acho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outubro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"https://www.ihu.unisinos.br/categorias/623259-espiritualidade-e-autonomia-artigo-de-raul-zibechi" \t "_blank" </w:instrTex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visitei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FC6B01"/>
          <w:sz w:val="27"/>
          <w:szCs w:val="27"/>
          <w:u w:val="single"/>
          <w:lang w:val="es-UY" w:eastAsia="es-UY"/>
        </w:rPr>
        <w:t>aldeia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FC6B01"/>
          <w:sz w:val="27"/>
          <w:szCs w:val="27"/>
          <w:u w:val="single"/>
          <w:lang w:val="es-UY" w:eastAsia="es-UY"/>
        </w:rPr>
        <w:t>guarani</w:t>
      </w:r>
      <w:proofErr w:type="spellEnd"/>
      <w:r w:rsidRPr="007150F2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 em </w:t>
      </w:r>
      <w:r w:rsidRPr="007150F2">
        <w:rPr>
          <w:rFonts w:ascii="Georgia" w:eastAsia="Times New Roman" w:hAnsi="Georgia" w:cs="Times New Roman"/>
          <w:b/>
          <w:bCs/>
          <w:color w:val="FC6B01"/>
          <w:sz w:val="27"/>
          <w:szCs w:val="27"/>
          <w:u w:val="single"/>
          <w:lang w:val="es-UY" w:eastAsia="es-UY"/>
        </w:rPr>
        <w:t>São Paulo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porque,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marxista,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existia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coesão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provinha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minha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marxistas,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coletiva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comprovei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casa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onde eles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passam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horas do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cantando 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dançando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8E7F9A0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</w:p>
    <w:p w14:paraId="0E1A7028" w14:textId="77777777" w:rsidR="007150F2" w:rsidRPr="007150F2" w:rsidRDefault="007150F2" w:rsidP="007150F2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fundamental.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trata de 20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30 minutos de mística,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centralidade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ligação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ligação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ligação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cosmos,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animais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plantas. Acredito que estamos em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período de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aprendizagem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eu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Naturalmente,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sei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para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chaves da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autonomia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interior. No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Ocidente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olhamos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para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existe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mobilização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interior que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para a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sobrevivência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estamos falando </w:t>
      </w:r>
      <w:proofErr w:type="gram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acho 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período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capitalismo</w:t>
      </w:r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de</w:t>
      </w:r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civilizatória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de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crise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humanidade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vamos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sair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dessas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crises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espiritualidade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comunitária</w:t>
      </w:r>
      <w:proofErr w:type="spellEnd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7150F2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coletiva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possa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intensificar o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elo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7150F2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vida.</w:t>
      </w:r>
    </w:p>
    <w:p w14:paraId="32F0C13B" w14:textId="466024C6" w:rsidR="002E2F5B" w:rsidRDefault="002E2F5B" w:rsidP="007150F2">
      <w:pPr>
        <w:jc w:val="both"/>
      </w:pPr>
    </w:p>
    <w:p w14:paraId="716F9BDD" w14:textId="5233B662" w:rsidR="007150F2" w:rsidRDefault="007150F2" w:rsidP="007150F2">
      <w:pPr>
        <w:jc w:val="both"/>
      </w:pPr>
      <w:hyperlink r:id="rId36" w:history="1">
        <w:r w:rsidRPr="007B082F">
          <w:rPr>
            <w:rStyle w:val="Hipervnculo"/>
          </w:rPr>
          <w:t>https://www.ihu.unisinos.br/623812-extrativismo-e-uma-neocolonizacao-de-paises-e-territorios-conferencia-de-raul-zibechi</w:t>
        </w:r>
      </w:hyperlink>
    </w:p>
    <w:p w14:paraId="62D863DD" w14:textId="77777777" w:rsidR="007150F2" w:rsidRDefault="007150F2" w:rsidP="007150F2">
      <w:pPr>
        <w:jc w:val="both"/>
      </w:pPr>
    </w:p>
    <w:sectPr w:rsidR="007150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2885" w14:textId="77777777" w:rsidR="00E90EA4" w:rsidRDefault="00E90EA4" w:rsidP="007150F2">
      <w:pPr>
        <w:spacing w:after="0" w:line="240" w:lineRule="auto"/>
      </w:pPr>
      <w:r>
        <w:separator/>
      </w:r>
    </w:p>
  </w:endnote>
  <w:endnote w:type="continuationSeparator" w:id="0">
    <w:p w14:paraId="7007EECC" w14:textId="77777777" w:rsidR="00E90EA4" w:rsidRDefault="00E90EA4" w:rsidP="0071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4F9B" w14:textId="77777777" w:rsidR="00E90EA4" w:rsidRDefault="00E90EA4" w:rsidP="007150F2">
      <w:pPr>
        <w:spacing w:after="0" w:line="240" w:lineRule="auto"/>
      </w:pPr>
      <w:r>
        <w:separator/>
      </w:r>
    </w:p>
  </w:footnote>
  <w:footnote w:type="continuationSeparator" w:id="0">
    <w:p w14:paraId="4E296A02" w14:textId="77777777" w:rsidR="00E90EA4" w:rsidRDefault="00E90EA4" w:rsidP="00715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F2"/>
    <w:rsid w:val="002E2F5B"/>
    <w:rsid w:val="007150F2"/>
    <w:rsid w:val="00E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37AB"/>
  <w15:chartTrackingRefBased/>
  <w15:docId w15:val="{453D41CB-D4F5-4EB9-A041-06D66D1A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5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50F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50F2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7150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50F2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127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477721707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22504744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4023828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11000402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66330961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281352005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874274028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5984957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32705365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06549214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u.unisinos.br/categorias/620367-a-nova-onda-progressista-entre-a-moderacao-e-uma-direita-intolerante-artigo-de-raul-zibechi" TargetMode="External"/><Relationship Id="rId13" Type="http://schemas.openxmlformats.org/officeDocument/2006/relationships/hyperlink" Target="https://twitter.com/intent/tweet?text=O%20extrativismo%20%C3%A9%20uma%20neocoloniza%C3%A7%C3%A3o%20de%20nossos%20pa%C3%ADses%20e%20territ%C3%B3rios%20%E2%80%93%20Ra%C3%BAl%20Zibechi%20https%3A%2F%2Fwww.ihu.unisinos.br%2F623812-extrativismo-e-uma-neocolonizacao-de-paises-e-territorios-conferencia-de-raul-zibechi+via+%40_ihu" TargetMode="External"/><Relationship Id="rId18" Type="http://schemas.openxmlformats.org/officeDocument/2006/relationships/hyperlink" Target="https://www.ihu.unisinos.br/45157" TargetMode="External"/><Relationship Id="rId26" Type="http://schemas.openxmlformats.org/officeDocument/2006/relationships/hyperlink" Target="https://twitter.com/intent/tweet?text=Uma%20das%20chaves%20da%20autonomia%20%C3%A9%20a%20espiritualidade,%20a%20mobiliza%C3%A7%C3%A3o%20interior%20%E2%80%93%20Ra%C3%BAl%20Zibechi%20https%3A%2F%2Fwww.ihu.unisinos.br%2F623812-extrativismo-e-uma-neocolonizacao-de-paises-e-territorios-conferencia-de-raul-zibechi+via+%40_ih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intent/tweet?text=Em%20muitas%20cidades%20da%20Am%C3%A9rica%20Latina,%20observamos%20essa%20forma%20militarizada%20de%20controle%20e%20de%20alian%C3%A7as%20estatais%20com%20a%20pol%C3%ADcia%20e%20narcoevang%C3%A9licos%20%E2%80%93%20Ra%C3%BAl%20Zibechi%20https%3A%2F%2Fwww.ihu.unisinos.br%2F623812-extrativismo-e-uma-neocolonizacao-de-paises-e-territorios-conferencia-de-raul-zibechi+via+%40_ihu" TargetMode="External"/><Relationship Id="rId34" Type="http://schemas.openxmlformats.org/officeDocument/2006/relationships/hyperlink" Target="https://twitter.com/intent/tweet?text=N%C3%A3o%20vamos%20sair%20dessas%20crises%20sem%20uma%20forte%20espiritualidade%20comunit%C3%A1ria%20e%20coletiva%20que%20possa%20intensificar%20o%20elo%20com%20a%20vida%20%E2%80%93%20Ra%C3%BAl%20Zibechi%20https%3A%2F%2Fwww.ihu.unisinos.br%2F623812-extrativismo-e-uma-neocolonizacao-de-paises-e-territorios-conferencia-de-raul-zibechi+via+%40_ihu" TargetMode="External"/><Relationship Id="rId7" Type="http://schemas.openxmlformats.org/officeDocument/2006/relationships/hyperlink" Target="https://www.ihu.unisinos.br/publicacoes/78-noticias/612630-conflitos-da-mineracao-em-2020-envolveram-mais-de-1-milhao-pessoas-no-brasil" TargetMode="External"/><Relationship Id="rId12" Type="http://schemas.openxmlformats.org/officeDocument/2006/relationships/hyperlink" Target="https://twitter.com/intent/tweet?text=O%20extrativismo%20significa%20um%20ataque%20muito%20forte%20%C3%A0%20agricultura%20familiar%20e%20%C3%A0%20soberania%20alimentar%20dos%20pa%C3%ADses%20%E2%80%93%20Ra%C3%BAl%20Zibechi%20https%3A%2F%2Fwww.ihu.unisinos.br%2F623812-extrativismo-e-uma-neocolonizacao-de-paises-e-territorios-conferencia-de-raul-zibechi+via+%40_ihu" TargetMode="External"/><Relationship Id="rId17" Type="http://schemas.openxmlformats.org/officeDocument/2006/relationships/hyperlink" Target="https://www.ihuonline.unisinos.br/edicao/468" TargetMode="External"/><Relationship Id="rId25" Type="http://schemas.openxmlformats.org/officeDocument/2006/relationships/hyperlink" Target="https://twitter.com/intent/tweet?text=Os%20tr%C3%AAs%20%C3%BAltimos%20anos%20foram%20muito%20importantes%20na%20Am%C3%A9rica%20Latina%20porque%20houve%20uma%20acumula%C3%A7%C3%A3o%20de%20revoltas%20%E2%80%93%20Ra%C3%BAl%20Zibechi%20https%3A%2F%2Fwww.ihu.unisinos.br%2F623812-extrativismo-e-uma-neocolonizacao-de-paises-e-territorios-conferencia-de-raul-zibechi+via+%40_ihu" TargetMode="External"/><Relationship Id="rId33" Type="http://schemas.openxmlformats.org/officeDocument/2006/relationships/hyperlink" Target="https://www.ihu.unisinos.br/61741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590201" TargetMode="External"/><Relationship Id="rId20" Type="http://schemas.openxmlformats.org/officeDocument/2006/relationships/hyperlink" Target="https://twitter.com/intent/tweet?text=O%20Estado%20foi%20apropriado,%20sequestrado,%20pelo%201%25%20da%20popula%C3%A7%C3%A3o,%20os%20mais%20ricos,%20o%20capital%20financeiro%20%E2%80%93%20Ra%C3%BAl%20Zibechi%20https%3A%2F%2Fwww.ihu.unisinos.br%2F623812-extrativismo-e-uma-neocolonizacao-de-paises-e-territorios-conferencia-de-raul-zibechi+via+%40_ihu" TargetMode="External"/><Relationship Id="rId29" Type="http://schemas.openxmlformats.org/officeDocument/2006/relationships/hyperlink" Target="https://www.ihu.unisinos.br/57948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categorias/618358-quando-a-guerra-nao-salva-mais-o-sistema-artigo-de-raul-zibechi" TargetMode="External"/><Relationship Id="rId11" Type="http://schemas.openxmlformats.org/officeDocument/2006/relationships/hyperlink" Target="https://www.ihu.unisinos.br/597468" TargetMode="External"/><Relationship Id="rId24" Type="http://schemas.openxmlformats.org/officeDocument/2006/relationships/hyperlink" Target="https://www.ihu.unisinos.br/558678" TargetMode="External"/><Relationship Id="rId32" Type="http://schemas.openxmlformats.org/officeDocument/2006/relationships/hyperlink" Target="https://twitter.com/intent/tweet?text=Existe%20uma%20articula%C3%A7%C3%A3o%20de%20povos%20ind%C3%ADgenas%20no%20Brasil,%20mas%20ela%20precisa%20se%20articular%20com%20os%20povos%20camponeses,%20com%20os%20quilombolas,%20com%20as%20periferias%20urbanas%20%E2%80%93%20Ra%C3%BAl%20Zibechi%20https%3A%2F%2Fwww.ihu.unisinos.br%2F623812-extrativismo-e-uma-neocolonizacao-de-paises-e-territorios-conferencia-de-raul-zibechi+via+%40_ihu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intent/tweet?text=Na%20Am%C3%A9rica%20Latina,%20h%C3%A1%20mais%20de%20250%20conflitos%20por%20causa%20da%20minera%C3%A7%C3%A3o%20e%20180%20conflitos%20por%20causa%20da%20%C3%A1gua%20%E2%80%93%20Ra%C3%BAl%20Zibechi%20https%3A%2F%2Fwww.ihu.unisinos.br%2F623812-extrativismo-e-uma-neocolonizacao-de-paises-e-territorios-conferencia-de-raul-zibechi+via+%40_ihu" TargetMode="External"/><Relationship Id="rId23" Type="http://schemas.openxmlformats.org/officeDocument/2006/relationships/hyperlink" Target="https://twitter.com/intent/tweet?text=N%C3%A3o%20h%C3%A1%20uma%20discuss%C3%A3o%20na%20esquerda%20e%20no%20pensamento%20cr%C3%ADtico%20de%20como%20mudar%20a%20forma%20de%20agir%20das%20for%C3%A7as%20armadas%20e%20das%20for%C3%A7as%20policiais%20%E2%80%93%20Ra%C3%BAl%20Zibechi%20https%3A%2F%2Fwww.ihu.unisinos.br%2F623812-extrativismo-e-uma-neocolonizacao-de-paises-e-territorios-conferencia-de-raul-zibechi+via+%40_ihu" TargetMode="External"/><Relationship Id="rId28" Type="http://schemas.openxmlformats.org/officeDocument/2006/relationships/hyperlink" Target="https://www.ihu.unisinos.br/Gabriel%20Boric" TargetMode="External"/><Relationship Id="rId36" Type="http://schemas.openxmlformats.org/officeDocument/2006/relationships/hyperlink" Target="https://www.ihu.unisinos.br/623812-extrativismo-e-uma-neocolonizacao-de-paises-e-territorios-conferencia-de-raul-zibechi" TargetMode="External"/><Relationship Id="rId10" Type="http://schemas.openxmlformats.org/officeDocument/2006/relationships/hyperlink" Target="https://www.ihu.unisinos.br/621220" TargetMode="External"/><Relationship Id="rId19" Type="http://schemas.openxmlformats.org/officeDocument/2006/relationships/hyperlink" Target="https://www.ihu.unisinos.br/571077" TargetMode="External"/><Relationship Id="rId31" Type="http://schemas.openxmlformats.org/officeDocument/2006/relationships/hyperlink" Target="https://twitter.com/intent/tweet?text=Os%20governos%20progressistas,%20hoje,%20n%C3%A3o%20t%C3%AAm%20possibilidade%20de%20fazer%20mudan%C3%A7as%20%E2%80%93%20Ra%C3%BAl%20Zibechi%20https%3A%2F%2Fwww.ihu.unisinos.br%2F623812-extrativismo-e-uma-neocolonizacao-de-paises-e-territorios-conferencia-de-raul-zibechi+via+%40_ih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https://www.ihu.unisinos.br/597739" TargetMode="External"/><Relationship Id="rId22" Type="http://schemas.openxmlformats.org/officeDocument/2006/relationships/hyperlink" Target="https://www.ihu.unisinos.br/599202" TargetMode="External"/><Relationship Id="rId27" Type="http://schemas.openxmlformats.org/officeDocument/2006/relationships/hyperlink" Target="https://www.ihu.unisinos.br/categorias/593997-protestos-no-chile-as-rachaduras-no-modelo-economico-do-pais-expostas-pelas-manifestacoes" TargetMode="External"/><Relationship Id="rId30" Type="http://schemas.openxmlformats.org/officeDocument/2006/relationships/hyperlink" Target="https://www.ihu.unisinos.br/608533" TargetMode="External"/><Relationship Id="rId35" Type="http://schemas.openxmlformats.org/officeDocument/2006/relationships/hyperlink" Target="https://www.ihu.unisinos.br/622947-escutar-a-realidade-dos-grupos-humanos-que-lutam-por-seguranca-economica-e-existencial-eis-o-passo-mais-uma-vez-adiado-pela-esquerda-entrevista-especial-com-flavio-lazzari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5189</Words>
  <Characters>28542</Characters>
  <Application>Microsoft Office Word</Application>
  <DocSecurity>0</DocSecurity>
  <Lines>237</Lines>
  <Paragraphs>67</Paragraphs>
  <ScaleCrop>false</ScaleCrop>
  <Company/>
  <LinksUpToDate>false</LinksUpToDate>
  <CharactersWithSpaces>33664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2022-11-11T14:31:00Z</dcterms:created>
  <dcterms:modified xsi:type="dcterms:W3CDTF">2022-11-11T14:40:00Z</dcterms:modified>
</cp:coreProperties>
</file>