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09731" w14:textId="77777777" w:rsidR="001E2C81" w:rsidRPr="001E2C81" w:rsidRDefault="001E2C81" w:rsidP="001E2C81">
      <w:pPr>
        <w:shd w:val="clear" w:color="auto" w:fill="FFFFFF"/>
        <w:spacing w:before="100" w:beforeAutospacing="1" w:after="100" w:afterAutospacing="1" w:line="240" w:lineRule="auto"/>
        <w:jc w:val="center"/>
        <w:rPr>
          <w:rFonts w:ascii="Arial" w:eastAsia="Times New Roman" w:hAnsi="Arial" w:cs="Arial"/>
          <w:color w:val="222222"/>
          <w:sz w:val="24"/>
          <w:szCs w:val="24"/>
          <w:lang w:val="es-UY" w:eastAsia="es-UY"/>
        </w:rPr>
      </w:pPr>
      <w:r w:rsidRPr="001E2C81">
        <w:rPr>
          <w:rFonts w:ascii="Times New Roman" w:eastAsia="Times New Roman" w:hAnsi="Times New Roman" w:cs="Times New Roman"/>
          <w:color w:val="000000"/>
          <w:sz w:val="36"/>
          <w:szCs w:val="36"/>
          <w:lang w:val="es-UY" w:eastAsia="es-UY"/>
        </w:rPr>
        <w:t> </w:t>
      </w:r>
      <w:r w:rsidRPr="001E2C81">
        <w:rPr>
          <w:rFonts w:ascii="Arial" w:eastAsia="Times New Roman" w:hAnsi="Arial" w:cs="Arial"/>
          <w:b/>
          <w:bCs/>
          <w:color w:val="000000"/>
          <w:sz w:val="36"/>
          <w:szCs w:val="36"/>
          <w:lang w:val="es-UY" w:eastAsia="es-UY"/>
        </w:rPr>
        <w:t>Fuera de los pobres no hay salvación</w:t>
      </w:r>
    </w:p>
    <w:p w14:paraId="5035054C" w14:textId="77777777" w:rsidR="001E2C81" w:rsidRPr="001E2C81" w:rsidRDefault="001E2C81" w:rsidP="001E2C81">
      <w:pPr>
        <w:shd w:val="clear" w:color="auto" w:fill="FFFFFF"/>
        <w:spacing w:after="0" w:line="240" w:lineRule="auto"/>
        <w:jc w:val="center"/>
        <w:rPr>
          <w:rFonts w:ascii="Arial" w:eastAsia="Times New Roman" w:hAnsi="Arial" w:cs="Arial"/>
          <w:color w:val="222222"/>
          <w:sz w:val="24"/>
          <w:szCs w:val="24"/>
          <w:lang w:val="es-UY" w:eastAsia="es-UY"/>
        </w:rPr>
      </w:pPr>
      <w:r w:rsidRPr="001E2C81">
        <w:rPr>
          <w:rFonts w:ascii="Arial" w:eastAsia="Times New Roman" w:hAnsi="Arial" w:cs="Arial"/>
          <w:b/>
          <w:bCs/>
          <w:color w:val="000000"/>
          <w:sz w:val="27"/>
          <w:szCs w:val="27"/>
          <w:lang w:val="es-UY" w:eastAsia="es-UY"/>
        </w:rPr>
        <w:t>DOMINGO VIGESIMOQUINTO - "C"</w:t>
      </w:r>
    </w:p>
    <w:p w14:paraId="1D190DED" w14:textId="77777777" w:rsidR="001E2C81" w:rsidRPr="001E2C81" w:rsidRDefault="001E2C81" w:rsidP="001E2C81">
      <w:pPr>
        <w:shd w:val="clear" w:color="auto" w:fill="FFFFFF"/>
        <w:spacing w:after="0" w:line="240" w:lineRule="auto"/>
        <w:jc w:val="center"/>
        <w:rPr>
          <w:rFonts w:ascii="Arial" w:eastAsia="Times New Roman" w:hAnsi="Arial" w:cs="Arial"/>
          <w:color w:val="222222"/>
          <w:sz w:val="24"/>
          <w:szCs w:val="24"/>
          <w:lang w:val="es-UY" w:eastAsia="es-UY"/>
        </w:rPr>
      </w:pPr>
      <w:r w:rsidRPr="001E2C81">
        <w:rPr>
          <w:rFonts w:ascii="Times New Roman" w:eastAsia="Times New Roman" w:hAnsi="Times New Roman" w:cs="Times New Roman"/>
          <w:color w:val="000000"/>
          <w:sz w:val="27"/>
          <w:szCs w:val="27"/>
          <w:lang w:val="es-UY" w:eastAsia="es-UY"/>
        </w:rPr>
        <w:t> </w:t>
      </w:r>
    </w:p>
    <w:p w14:paraId="6538045A" w14:textId="77777777" w:rsidR="001E2C81" w:rsidRPr="001E2C81" w:rsidRDefault="001E2C81" w:rsidP="001E2C81">
      <w:pPr>
        <w:shd w:val="clear" w:color="auto" w:fill="FFFFFF"/>
        <w:spacing w:after="0" w:line="240" w:lineRule="auto"/>
        <w:jc w:val="center"/>
        <w:rPr>
          <w:rFonts w:ascii="Arial" w:eastAsia="Times New Roman" w:hAnsi="Arial" w:cs="Arial"/>
          <w:color w:val="222222"/>
          <w:sz w:val="24"/>
          <w:szCs w:val="24"/>
          <w:lang w:val="es-UY" w:eastAsia="es-UY"/>
        </w:rPr>
      </w:pPr>
      <w:r w:rsidRPr="001E2C81">
        <w:rPr>
          <w:rFonts w:ascii="Times New Roman" w:eastAsia="Times New Roman" w:hAnsi="Times New Roman" w:cs="Times New Roman"/>
          <w:color w:val="000000"/>
          <w:sz w:val="27"/>
          <w:szCs w:val="27"/>
          <w:lang w:val="es-UY" w:eastAsia="es-UY"/>
        </w:rPr>
        <w:t> </w:t>
      </w:r>
    </w:p>
    <w:p w14:paraId="310BE6EF" w14:textId="77777777" w:rsidR="001E2C81" w:rsidRPr="001E2C81" w:rsidRDefault="001E2C81" w:rsidP="001E2C81">
      <w:pPr>
        <w:shd w:val="clear" w:color="auto" w:fill="FFFFFF"/>
        <w:spacing w:after="0" w:line="240" w:lineRule="auto"/>
        <w:jc w:val="right"/>
        <w:rPr>
          <w:rFonts w:ascii="Arial" w:eastAsia="Times New Roman" w:hAnsi="Arial" w:cs="Arial"/>
          <w:color w:val="222222"/>
          <w:sz w:val="24"/>
          <w:szCs w:val="24"/>
          <w:lang w:val="es-UY" w:eastAsia="es-UY"/>
        </w:rPr>
      </w:pPr>
      <w:r w:rsidRPr="001E2C81">
        <w:rPr>
          <w:rFonts w:ascii="Arial" w:eastAsia="Times New Roman" w:hAnsi="Arial" w:cs="Arial"/>
          <w:i/>
          <w:iCs/>
          <w:color w:val="000000"/>
          <w:sz w:val="27"/>
          <w:szCs w:val="27"/>
          <w:lang w:val="es-UY" w:eastAsia="es-UY"/>
        </w:rPr>
        <w:t>Eduardo de la Serna </w:t>
      </w:r>
    </w:p>
    <w:p w14:paraId="30A72A6E" w14:textId="77777777" w:rsidR="001E2C81" w:rsidRPr="001E2C81" w:rsidRDefault="001E2C81" w:rsidP="001E2C81">
      <w:pPr>
        <w:shd w:val="clear" w:color="auto" w:fill="FFFFFF"/>
        <w:spacing w:after="0" w:line="240" w:lineRule="auto"/>
        <w:jc w:val="center"/>
        <w:rPr>
          <w:rFonts w:ascii="Arial" w:eastAsia="Times New Roman" w:hAnsi="Arial" w:cs="Arial"/>
          <w:color w:val="222222"/>
          <w:sz w:val="24"/>
          <w:szCs w:val="24"/>
          <w:lang w:val="es-UY" w:eastAsia="es-UY"/>
        </w:rPr>
      </w:pPr>
      <w:r w:rsidRPr="001E2C81">
        <w:rPr>
          <w:rFonts w:ascii="Times New Roman" w:eastAsia="Times New Roman" w:hAnsi="Times New Roman" w:cs="Times New Roman"/>
          <w:color w:val="000000"/>
          <w:sz w:val="27"/>
          <w:szCs w:val="27"/>
          <w:lang w:val="es-UY" w:eastAsia="es-UY"/>
        </w:rPr>
        <w:t> </w:t>
      </w:r>
    </w:p>
    <w:p w14:paraId="18137C01" w14:textId="51281EE8" w:rsidR="001E2C81" w:rsidRPr="001E2C81" w:rsidRDefault="001E2C81" w:rsidP="001E2C81">
      <w:pPr>
        <w:shd w:val="clear" w:color="auto" w:fill="FFFFFF"/>
        <w:spacing w:after="0" w:line="240" w:lineRule="auto"/>
        <w:jc w:val="center"/>
        <w:rPr>
          <w:rFonts w:ascii="Arial" w:eastAsia="Times New Roman" w:hAnsi="Arial" w:cs="Arial"/>
          <w:color w:val="222222"/>
          <w:sz w:val="24"/>
          <w:szCs w:val="24"/>
          <w:lang w:val="es-UY" w:eastAsia="es-UY"/>
        </w:rPr>
      </w:pPr>
      <w:r>
        <w:rPr>
          <w:rFonts w:ascii="Arial" w:eastAsia="Times New Roman" w:hAnsi="Arial" w:cs="Arial"/>
          <w:noProof/>
          <w:color w:val="222222"/>
          <w:sz w:val="24"/>
          <w:szCs w:val="24"/>
          <w:lang w:val="es-UY" w:eastAsia="es-UY"/>
        </w:rPr>
        <w:drawing>
          <wp:inline distT="0" distB="0" distL="0" distR="0" wp14:anchorId="0D88A6D7" wp14:editId="06C510F4">
            <wp:extent cx="3048000" cy="19431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943100"/>
                    </a:xfrm>
                    <a:prstGeom prst="rect">
                      <a:avLst/>
                    </a:prstGeom>
                    <a:noFill/>
                  </pic:spPr>
                </pic:pic>
              </a:graphicData>
            </a:graphic>
          </wp:inline>
        </w:drawing>
      </w:r>
    </w:p>
    <w:p w14:paraId="3E88F520" w14:textId="77777777" w:rsidR="001E2C81" w:rsidRPr="001E2C81" w:rsidRDefault="001E2C81" w:rsidP="001E2C81">
      <w:pPr>
        <w:shd w:val="clear" w:color="auto" w:fill="FFFFFF"/>
        <w:spacing w:after="240" w:line="240" w:lineRule="auto"/>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lang w:val="es-UY" w:eastAsia="es-UY"/>
        </w:rPr>
        <w:br/>
      </w:r>
      <w:r w:rsidRPr="001E2C81">
        <w:rPr>
          <w:rFonts w:ascii="Arial" w:eastAsia="Times New Roman" w:hAnsi="Arial" w:cs="Arial"/>
          <w:color w:val="000000"/>
          <w:sz w:val="27"/>
          <w:szCs w:val="27"/>
          <w:lang w:val="es-UY" w:eastAsia="es-UY"/>
        </w:rPr>
        <w:br/>
      </w:r>
      <w:r w:rsidRPr="001E2C81">
        <w:rPr>
          <w:rFonts w:ascii="Arial" w:eastAsia="Times New Roman" w:hAnsi="Arial" w:cs="Arial"/>
          <w:b/>
          <w:bCs/>
          <w:color w:val="000000"/>
          <w:sz w:val="27"/>
          <w:szCs w:val="27"/>
          <w:lang w:val="es-UY" w:eastAsia="es-UY"/>
        </w:rPr>
        <w:t>Lectura de la profecía de Amós</w:t>
      </w:r>
      <w:r w:rsidRPr="001E2C81">
        <w:rPr>
          <w:rFonts w:ascii="Arial" w:eastAsia="Times New Roman" w:hAnsi="Arial" w:cs="Arial"/>
          <w:color w:val="000000"/>
          <w:sz w:val="27"/>
          <w:szCs w:val="27"/>
          <w:lang w:val="es-UY" w:eastAsia="es-UY"/>
        </w:rPr>
        <w:t>     8, 4-7</w:t>
      </w:r>
      <w:r w:rsidRPr="001E2C81">
        <w:rPr>
          <w:rFonts w:ascii="Arial" w:eastAsia="Times New Roman" w:hAnsi="Arial" w:cs="Arial"/>
          <w:color w:val="000000"/>
          <w:sz w:val="27"/>
          <w:szCs w:val="27"/>
          <w:lang w:val="es-UY" w:eastAsia="es-UY"/>
        </w:rPr>
        <w:br/>
      </w:r>
      <w:r w:rsidRPr="001E2C81">
        <w:rPr>
          <w:rFonts w:ascii="Arial" w:eastAsia="Times New Roman" w:hAnsi="Arial" w:cs="Arial"/>
          <w:color w:val="000000"/>
          <w:sz w:val="27"/>
          <w:szCs w:val="27"/>
          <w:lang w:val="es-UY" w:eastAsia="es-UY"/>
        </w:rPr>
        <w:br/>
      </w:r>
      <w:r w:rsidRPr="001E2C81">
        <w:rPr>
          <w:rFonts w:ascii="Arial" w:eastAsia="Times New Roman" w:hAnsi="Arial" w:cs="Arial"/>
          <w:i/>
          <w:iCs/>
          <w:color w:val="000000"/>
          <w:sz w:val="27"/>
          <w:szCs w:val="27"/>
          <w:lang w:val="es-UY" w:eastAsia="es-UY"/>
        </w:rPr>
        <w:t>Resumen: El profeta critica duramente a los comerciantes sólo dedicados en ganar dinero desentendiéndose de Dios, de la justicia y de los pobres. </w:t>
      </w:r>
    </w:p>
    <w:p w14:paraId="2730A066"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lang w:val="es-UY" w:eastAsia="es-UY"/>
        </w:rPr>
        <w:t>Con sensatez se ha llamado a Amós el “</w:t>
      </w:r>
      <w:r w:rsidRPr="001E2C81">
        <w:rPr>
          <w:rFonts w:ascii="Arial" w:eastAsia="Times New Roman" w:hAnsi="Arial" w:cs="Arial"/>
          <w:i/>
          <w:iCs/>
          <w:color w:val="000000"/>
          <w:sz w:val="27"/>
          <w:szCs w:val="27"/>
          <w:lang w:val="es-UY" w:eastAsia="es-UY"/>
        </w:rPr>
        <w:t>profeta de la justicia</w:t>
      </w:r>
      <w:r w:rsidRPr="001E2C81">
        <w:rPr>
          <w:rFonts w:ascii="Arial" w:eastAsia="Times New Roman" w:hAnsi="Arial" w:cs="Arial"/>
          <w:color w:val="000000"/>
          <w:sz w:val="27"/>
          <w:szCs w:val="27"/>
          <w:lang w:val="es-UY" w:eastAsia="es-UY"/>
        </w:rPr>
        <w:t>”. La situación política y económica del reino de Israel en tiempos de Jeroboam II es particularmente grave, pocos ricos cada vez más ricos y muchos pobres cada vez más pobres. </w:t>
      </w:r>
    </w:p>
    <w:p w14:paraId="0F861F62"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Times New Roman" w:eastAsia="Times New Roman" w:hAnsi="Times New Roman" w:cs="Times New Roman"/>
          <w:color w:val="000000"/>
          <w:sz w:val="27"/>
          <w:szCs w:val="27"/>
          <w:lang w:val="es-UY" w:eastAsia="es-UY"/>
        </w:rPr>
        <w:t> </w:t>
      </w:r>
    </w:p>
    <w:p w14:paraId="276E9A2A"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lang w:val="es-UY" w:eastAsia="es-UY"/>
        </w:rPr>
        <w:t>El texto comienza con una invitación a escuchar (v.4) y finaliza con una referencia al castigo que espera a los que se desentiendan de los hermanos (v.8; este último versículo omitido en la liturgia). </w:t>
      </w:r>
    </w:p>
    <w:p w14:paraId="591D1380"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Times New Roman" w:eastAsia="Times New Roman" w:hAnsi="Times New Roman" w:cs="Times New Roman"/>
          <w:color w:val="000000"/>
          <w:sz w:val="27"/>
          <w:szCs w:val="27"/>
          <w:lang w:val="es-UY" w:eastAsia="es-UY"/>
        </w:rPr>
        <w:t> </w:t>
      </w:r>
    </w:p>
    <w:p w14:paraId="4B81F1F6"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lang w:val="es-UY" w:eastAsia="es-UY"/>
        </w:rPr>
        <w:t>El verbo “escuchen” (</w:t>
      </w:r>
      <w:proofErr w:type="spellStart"/>
      <w:r w:rsidRPr="001E2C81">
        <w:rPr>
          <w:rFonts w:ascii="Arial" w:eastAsia="Times New Roman" w:hAnsi="Arial" w:cs="Arial"/>
          <w:i/>
          <w:iCs/>
          <w:color w:val="000000"/>
          <w:sz w:val="27"/>
          <w:szCs w:val="27"/>
          <w:lang w:val="es-UY" w:eastAsia="es-UY"/>
        </w:rPr>
        <w:t>shemá</w:t>
      </w:r>
      <w:proofErr w:type="spellEnd"/>
      <w:r w:rsidRPr="001E2C81">
        <w:rPr>
          <w:rFonts w:ascii="Arial" w:eastAsia="Times New Roman" w:hAnsi="Arial" w:cs="Arial"/>
          <w:color w:val="000000"/>
          <w:sz w:val="27"/>
          <w:szCs w:val="27"/>
          <w:lang w:val="es-UY" w:eastAsia="es-UY"/>
        </w:rPr>
        <w:t>) es sumamente importante y frecuente en la Biblia hebrea (10 veces en Amós; usado en  imperativo en un sentido semejante en 3,1.13; 4,1 y 5,1. Es la voz de Dios que el profeta transmite a sus oyentes. En este caso se trata de dos acciones simultáneas, por un lado la injusticia (v.4.5.6) y la hipocresía religiosa por el otro (v.5). </w:t>
      </w:r>
    </w:p>
    <w:p w14:paraId="532C49C0"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Times New Roman" w:eastAsia="Times New Roman" w:hAnsi="Times New Roman" w:cs="Times New Roman"/>
          <w:color w:val="000000"/>
          <w:sz w:val="27"/>
          <w:szCs w:val="27"/>
          <w:lang w:val="es-UY" w:eastAsia="es-UY"/>
        </w:rPr>
        <w:t> </w:t>
      </w:r>
    </w:p>
    <w:p w14:paraId="65162D5B"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lang w:val="es-UY" w:eastAsia="es-UY"/>
        </w:rPr>
        <w:t xml:space="preserve">El oráculo está dirigido a los comerciantes que pretenden servir al dinero simulando servir a Dios; pero el corazón de estos comerciantes está puesto en el provecho económico, no en Dios. Las fiestas religiosas les molestan porque les impiden ganar dinero, que es lo único </w:t>
      </w:r>
      <w:r w:rsidRPr="001E2C81">
        <w:rPr>
          <w:rFonts w:ascii="Arial" w:eastAsia="Times New Roman" w:hAnsi="Arial" w:cs="Arial"/>
          <w:color w:val="000000"/>
          <w:sz w:val="27"/>
          <w:szCs w:val="27"/>
          <w:lang w:val="es-UY" w:eastAsia="es-UY"/>
        </w:rPr>
        <w:lastRenderedPageBreak/>
        <w:t xml:space="preserve">que les importa. El sábado –que es día de descanso, pero “descanso religioso”- les impide trabajar y vender. Isaías 1,13 también señala lo religioso del sábado y la luna nueva. A estos comerciantes no les interesa dar culto a Dios sino llenarse de dinero, Dios les molesta. El sentido del sábado es a su vez social (descanso del esclavo y la esclava, </w:t>
      </w:r>
      <w:proofErr w:type="spellStart"/>
      <w:r w:rsidRPr="001E2C81">
        <w:rPr>
          <w:rFonts w:ascii="Arial" w:eastAsia="Times New Roman" w:hAnsi="Arial" w:cs="Arial"/>
          <w:color w:val="000000"/>
          <w:sz w:val="27"/>
          <w:szCs w:val="27"/>
          <w:lang w:val="es-UY" w:eastAsia="es-UY"/>
        </w:rPr>
        <w:t>Dt</w:t>
      </w:r>
      <w:proofErr w:type="spellEnd"/>
      <w:r w:rsidRPr="001E2C81">
        <w:rPr>
          <w:rFonts w:ascii="Arial" w:eastAsia="Times New Roman" w:hAnsi="Arial" w:cs="Arial"/>
          <w:color w:val="000000"/>
          <w:sz w:val="27"/>
          <w:szCs w:val="27"/>
          <w:lang w:val="es-UY" w:eastAsia="es-UY"/>
        </w:rPr>
        <w:t xml:space="preserve"> 5,15), pero la preocupación por el hermano es la característica de la fidelidad a Yahvé. </w:t>
      </w:r>
    </w:p>
    <w:p w14:paraId="1ED6D766"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Times New Roman" w:eastAsia="Times New Roman" w:hAnsi="Times New Roman" w:cs="Times New Roman"/>
          <w:color w:val="000000"/>
          <w:sz w:val="27"/>
          <w:szCs w:val="27"/>
          <w:lang w:val="es-UY" w:eastAsia="es-UY"/>
        </w:rPr>
        <w:t> </w:t>
      </w:r>
    </w:p>
    <w:p w14:paraId="331227A4"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lang w:val="es-UY" w:eastAsia="es-UY"/>
        </w:rPr>
        <w:t>Por el contrario, estos comerciantes quieren exprimir al pobre, arruinar al indigente, aumentar los precios, vender con balanzas tramposas, comprar a los pobres. Amós ironiza que en lugar de “cesar” el trabajo quieren hacer “cesar” la existencia de los pobres (“cesar” en hebreo es </w:t>
      </w:r>
      <w:proofErr w:type="spellStart"/>
      <w:r w:rsidRPr="001E2C81">
        <w:rPr>
          <w:rFonts w:ascii="Arial" w:eastAsia="Times New Roman" w:hAnsi="Arial" w:cs="Arial"/>
          <w:i/>
          <w:iCs/>
          <w:color w:val="000000"/>
          <w:sz w:val="27"/>
          <w:szCs w:val="27"/>
          <w:lang w:val="es-UY" w:eastAsia="es-UY"/>
        </w:rPr>
        <w:t>sabat</w:t>
      </w:r>
      <w:proofErr w:type="spellEnd"/>
      <w:r w:rsidRPr="001E2C81">
        <w:rPr>
          <w:rFonts w:ascii="Arial" w:eastAsia="Times New Roman" w:hAnsi="Arial" w:cs="Arial"/>
          <w:color w:val="000000"/>
          <w:sz w:val="27"/>
          <w:szCs w:val="27"/>
          <w:lang w:val="es-UY" w:eastAsia="es-UY"/>
        </w:rPr>
        <w:t>, de donde proviene el término “</w:t>
      </w:r>
      <w:proofErr w:type="spellStart"/>
      <w:r w:rsidRPr="001E2C81">
        <w:rPr>
          <w:rFonts w:ascii="Arial" w:eastAsia="Times New Roman" w:hAnsi="Arial" w:cs="Arial"/>
          <w:i/>
          <w:iCs/>
          <w:color w:val="000000"/>
          <w:sz w:val="27"/>
          <w:szCs w:val="27"/>
          <w:lang w:val="es-UY" w:eastAsia="es-UY"/>
        </w:rPr>
        <w:t>sabat</w:t>
      </w:r>
      <w:proofErr w:type="spellEnd"/>
      <w:r w:rsidRPr="001E2C81">
        <w:rPr>
          <w:rFonts w:ascii="Arial" w:eastAsia="Times New Roman" w:hAnsi="Arial" w:cs="Arial"/>
          <w:color w:val="000000"/>
          <w:sz w:val="27"/>
          <w:szCs w:val="27"/>
          <w:lang w:val="es-UY" w:eastAsia="es-UY"/>
        </w:rPr>
        <w:t>”, sábado; ver semejante juego de palabras en Gen 2,2). Lo que pretenden estos comerciantes es obligarlos a venderse como esclavos por deudas menores. Que pisotean al pobre y lo venden por un par de sandalias es algo que ya en 2,6 se presentaba como condena a todo Israel por hacerlo. </w:t>
      </w:r>
    </w:p>
    <w:p w14:paraId="5A879246"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Times New Roman" w:eastAsia="Times New Roman" w:hAnsi="Times New Roman" w:cs="Times New Roman"/>
          <w:color w:val="000000"/>
          <w:sz w:val="27"/>
          <w:szCs w:val="27"/>
          <w:lang w:val="es-UY" w:eastAsia="es-UY"/>
        </w:rPr>
        <w:t> </w:t>
      </w:r>
    </w:p>
    <w:p w14:paraId="1E035D26"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lang w:val="es-UY" w:eastAsia="es-UY"/>
        </w:rPr>
        <w:t>En realidad, a estos comerciantes sólo les interesa el dinero; no les preocupa Dios, como se ve por su desinterés por el tiempo sagrado, ni les interesan los hermanos, como se ve en su actitud hacia los pobres (</w:t>
      </w:r>
      <w:r w:rsidRPr="001E2C81">
        <w:rPr>
          <w:rFonts w:ascii="Arial" w:eastAsia="Times New Roman" w:hAnsi="Arial" w:cs="Arial"/>
          <w:i/>
          <w:iCs/>
          <w:color w:val="000000"/>
          <w:sz w:val="27"/>
          <w:szCs w:val="27"/>
          <w:lang w:val="es-UY" w:eastAsia="es-UY"/>
        </w:rPr>
        <w:t>’</w:t>
      </w:r>
      <w:proofErr w:type="spellStart"/>
      <w:r w:rsidRPr="001E2C81">
        <w:rPr>
          <w:rFonts w:ascii="Arial" w:eastAsia="Times New Roman" w:hAnsi="Arial" w:cs="Arial"/>
          <w:i/>
          <w:iCs/>
          <w:color w:val="000000"/>
          <w:sz w:val="27"/>
          <w:szCs w:val="27"/>
          <w:lang w:val="es-UY" w:eastAsia="es-UY"/>
        </w:rPr>
        <w:t>ebyon</w:t>
      </w:r>
      <w:proofErr w:type="spellEnd"/>
      <w:r w:rsidRPr="001E2C81">
        <w:rPr>
          <w:rFonts w:ascii="Arial" w:eastAsia="Times New Roman" w:hAnsi="Arial" w:cs="Arial"/>
          <w:i/>
          <w:iCs/>
          <w:color w:val="000000"/>
          <w:sz w:val="27"/>
          <w:szCs w:val="27"/>
          <w:lang w:val="es-UY" w:eastAsia="es-UY"/>
        </w:rPr>
        <w:t>,</w:t>
      </w:r>
      <w:r w:rsidRPr="001E2C81">
        <w:rPr>
          <w:rFonts w:ascii="Arial" w:eastAsia="Times New Roman" w:hAnsi="Arial" w:cs="Arial"/>
          <w:color w:val="000000"/>
          <w:sz w:val="27"/>
          <w:szCs w:val="27"/>
          <w:lang w:val="es-UY" w:eastAsia="es-UY"/>
        </w:rPr>
        <w:t> </w:t>
      </w:r>
      <w:r w:rsidRPr="001E2C81">
        <w:rPr>
          <w:rFonts w:ascii="Arial" w:eastAsia="Times New Roman" w:hAnsi="Arial" w:cs="Arial"/>
          <w:i/>
          <w:iCs/>
          <w:color w:val="000000"/>
          <w:sz w:val="27"/>
          <w:szCs w:val="27"/>
          <w:lang w:val="es-UY" w:eastAsia="es-UY"/>
        </w:rPr>
        <w:t>‘</w:t>
      </w:r>
      <w:proofErr w:type="spellStart"/>
      <w:r w:rsidRPr="001E2C81">
        <w:rPr>
          <w:rFonts w:ascii="Arial" w:eastAsia="Times New Roman" w:hAnsi="Arial" w:cs="Arial"/>
          <w:i/>
          <w:iCs/>
          <w:color w:val="000000"/>
          <w:sz w:val="27"/>
          <w:szCs w:val="27"/>
          <w:lang w:val="es-UY" w:eastAsia="es-UY"/>
        </w:rPr>
        <w:t>aniw</w:t>
      </w:r>
      <w:proofErr w:type="spellEnd"/>
      <w:r w:rsidRPr="001E2C81">
        <w:rPr>
          <w:rFonts w:ascii="Arial" w:eastAsia="Times New Roman" w:hAnsi="Arial" w:cs="Arial"/>
          <w:i/>
          <w:iCs/>
          <w:color w:val="000000"/>
          <w:sz w:val="27"/>
          <w:szCs w:val="27"/>
          <w:lang w:val="es-UY" w:eastAsia="es-UY"/>
        </w:rPr>
        <w:t> </w:t>
      </w:r>
      <w:r w:rsidRPr="001E2C81">
        <w:rPr>
          <w:rFonts w:ascii="Arial" w:eastAsia="Times New Roman" w:hAnsi="Arial" w:cs="Arial"/>
          <w:color w:val="000000"/>
          <w:sz w:val="27"/>
          <w:szCs w:val="27"/>
          <w:lang w:val="es-UY" w:eastAsia="es-UY"/>
        </w:rPr>
        <w:t>y</w:t>
      </w:r>
      <w:r w:rsidRPr="001E2C81">
        <w:rPr>
          <w:rFonts w:ascii="Arial" w:eastAsia="Times New Roman" w:hAnsi="Arial" w:cs="Arial"/>
          <w:i/>
          <w:iCs/>
          <w:color w:val="000000"/>
          <w:sz w:val="27"/>
          <w:szCs w:val="27"/>
          <w:lang w:val="es-UY" w:eastAsia="es-UY"/>
        </w:rPr>
        <w:t> </w:t>
      </w:r>
      <w:proofErr w:type="spellStart"/>
      <w:r w:rsidRPr="001E2C81">
        <w:rPr>
          <w:rFonts w:ascii="Arial" w:eastAsia="Times New Roman" w:hAnsi="Arial" w:cs="Arial"/>
          <w:i/>
          <w:iCs/>
          <w:color w:val="000000"/>
          <w:sz w:val="27"/>
          <w:szCs w:val="27"/>
          <w:lang w:val="es-UY" w:eastAsia="es-UY"/>
        </w:rPr>
        <w:t>dal</w:t>
      </w:r>
      <w:proofErr w:type="spellEnd"/>
      <w:r w:rsidRPr="001E2C81">
        <w:rPr>
          <w:rFonts w:ascii="Arial" w:eastAsia="Times New Roman" w:hAnsi="Arial" w:cs="Arial"/>
          <w:color w:val="000000"/>
          <w:sz w:val="27"/>
          <w:szCs w:val="27"/>
          <w:lang w:val="es-UY" w:eastAsia="es-UY"/>
        </w:rPr>
        <w:t>) o en la estafa en el comercio. Lo que hacen en este sentido son tres cosas:</w:t>
      </w:r>
    </w:p>
    <w:p w14:paraId="02194CDB"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Times New Roman" w:eastAsia="Times New Roman" w:hAnsi="Times New Roman" w:cs="Times New Roman"/>
          <w:color w:val="000000"/>
          <w:sz w:val="27"/>
          <w:szCs w:val="27"/>
          <w:lang w:val="es-UY" w:eastAsia="es-UY"/>
        </w:rPr>
        <w:t> </w:t>
      </w:r>
    </w:p>
    <w:p w14:paraId="1FA61D11"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lang w:val="es-UY" w:eastAsia="es-UY"/>
        </w:rPr>
        <w:t>Disminuir la medida. Siendo medidas de capacidad (unos 40 litros), es posible que usaran o un doble fondo, o algo que disimulara. Lo que se suele traducir por “aumentar el precio” debe entenderse en qué sentido se afirma, ya que el precio era fijado por las autoridades, por lo que se trata de respetar el control de precio pero estafar en los pesos. En esta época no existían las monedas, así que el pago era por canje con productos o metales preciosos que eran pesados en básculas. Para eso bastaba con usar balanzas con pesas falsas para lograr el objetivo de enriquecerse más. Es semejante a lo tercero que se afirma, “falsear la balanza”, algo muy habitual en los comerciantes, y muy criticado en el AT (</w:t>
      </w:r>
      <w:proofErr w:type="spellStart"/>
      <w:r w:rsidRPr="001E2C81">
        <w:rPr>
          <w:rFonts w:ascii="Arial" w:eastAsia="Times New Roman" w:hAnsi="Arial" w:cs="Arial"/>
          <w:color w:val="000000"/>
          <w:sz w:val="27"/>
          <w:szCs w:val="27"/>
          <w:lang w:val="es-UY" w:eastAsia="es-UY"/>
        </w:rPr>
        <w:t>Dt</w:t>
      </w:r>
      <w:proofErr w:type="spellEnd"/>
      <w:r w:rsidRPr="001E2C81">
        <w:rPr>
          <w:rFonts w:ascii="Arial" w:eastAsia="Times New Roman" w:hAnsi="Arial" w:cs="Arial"/>
          <w:color w:val="000000"/>
          <w:sz w:val="27"/>
          <w:szCs w:val="27"/>
          <w:lang w:val="es-UY" w:eastAsia="es-UY"/>
        </w:rPr>
        <w:t xml:space="preserve"> 25,13-15; </w:t>
      </w:r>
      <w:proofErr w:type="spellStart"/>
      <w:r w:rsidRPr="001E2C81">
        <w:rPr>
          <w:rFonts w:ascii="Arial" w:eastAsia="Times New Roman" w:hAnsi="Arial" w:cs="Arial"/>
          <w:color w:val="000000"/>
          <w:sz w:val="27"/>
          <w:szCs w:val="27"/>
          <w:lang w:val="es-UY" w:eastAsia="es-UY"/>
        </w:rPr>
        <w:t>Lv</w:t>
      </w:r>
      <w:proofErr w:type="spellEnd"/>
      <w:r w:rsidRPr="001E2C81">
        <w:rPr>
          <w:rFonts w:ascii="Arial" w:eastAsia="Times New Roman" w:hAnsi="Arial" w:cs="Arial"/>
          <w:color w:val="000000"/>
          <w:sz w:val="27"/>
          <w:szCs w:val="27"/>
          <w:lang w:val="es-UY" w:eastAsia="es-UY"/>
        </w:rPr>
        <w:t xml:space="preserve"> 19,35-36; </w:t>
      </w:r>
      <w:proofErr w:type="spellStart"/>
      <w:r w:rsidRPr="001E2C81">
        <w:rPr>
          <w:rFonts w:ascii="Arial" w:eastAsia="Times New Roman" w:hAnsi="Arial" w:cs="Arial"/>
          <w:color w:val="000000"/>
          <w:sz w:val="27"/>
          <w:szCs w:val="27"/>
          <w:lang w:val="es-UY" w:eastAsia="es-UY"/>
        </w:rPr>
        <w:t>Prov</w:t>
      </w:r>
      <w:proofErr w:type="spellEnd"/>
      <w:r w:rsidRPr="001E2C81">
        <w:rPr>
          <w:rFonts w:ascii="Arial" w:eastAsia="Times New Roman" w:hAnsi="Arial" w:cs="Arial"/>
          <w:color w:val="000000"/>
          <w:sz w:val="27"/>
          <w:szCs w:val="27"/>
          <w:lang w:val="es-UY" w:eastAsia="es-UY"/>
        </w:rPr>
        <w:t xml:space="preserve"> 11,1; 16,11; 20,10.23), falsean el peso para comprar y para vender. El tema era frecuente también en el antiguo Oriente:</w:t>
      </w:r>
    </w:p>
    <w:p w14:paraId="42B5CECC" w14:textId="77777777" w:rsidR="001E2C81" w:rsidRPr="001E2C81" w:rsidRDefault="001E2C81" w:rsidP="001E2C81">
      <w:pPr>
        <w:shd w:val="clear" w:color="auto" w:fill="FFFFFF"/>
        <w:spacing w:after="240" w:line="240" w:lineRule="auto"/>
        <w:jc w:val="both"/>
        <w:rPr>
          <w:rFonts w:ascii="Arial" w:eastAsia="Times New Roman" w:hAnsi="Arial" w:cs="Arial"/>
          <w:color w:val="222222"/>
          <w:sz w:val="24"/>
          <w:szCs w:val="24"/>
          <w:lang w:val="es-UY" w:eastAsia="es-UY"/>
        </w:rPr>
      </w:pPr>
    </w:p>
    <w:p w14:paraId="53CB4CBD" w14:textId="77777777" w:rsidR="001E2C81" w:rsidRPr="001E2C81" w:rsidRDefault="001E2C81" w:rsidP="001E2C81">
      <w:pPr>
        <w:numPr>
          <w:ilvl w:val="0"/>
          <w:numId w:val="1"/>
        </w:numPr>
        <w:shd w:val="clear" w:color="auto" w:fill="FFFFFF"/>
        <w:spacing w:after="0" w:line="240" w:lineRule="auto"/>
        <w:jc w:val="both"/>
        <w:rPr>
          <w:rFonts w:ascii="Calibri" w:eastAsia="Times New Roman" w:hAnsi="Calibri" w:cs="Calibri"/>
          <w:color w:val="000000"/>
          <w:lang w:val="es-UY" w:eastAsia="es-UY"/>
        </w:rPr>
      </w:pPr>
      <w:r w:rsidRPr="001E2C81">
        <w:rPr>
          <w:rFonts w:ascii="Arial" w:eastAsia="Times New Roman" w:hAnsi="Arial" w:cs="Arial"/>
          <w:color w:val="000000"/>
          <w:sz w:val="27"/>
          <w:szCs w:val="27"/>
          <w:lang w:val="es-UY" w:eastAsia="es-UY"/>
        </w:rPr>
        <w:t>En Egipto el muerto afirma ante los dioses que lo juzgan: “</w:t>
      </w:r>
      <w:r w:rsidRPr="001E2C81">
        <w:rPr>
          <w:rFonts w:ascii="Arial" w:eastAsia="Times New Roman" w:hAnsi="Arial" w:cs="Arial"/>
          <w:i/>
          <w:iCs/>
          <w:color w:val="000000"/>
          <w:sz w:val="27"/>
          <w:szCs w:val="27"/>
          <w:lang w:val="es-UY" w:eastAsia="es-UY"/>
        </w:rPr>
        <w:t>No he aumentado ni disminuido la medida de grano. No he añadido nada al peso de la balanza. No he falseado el fiel de las básculas</w:t>
      </w:r>
      <w:r w:rsidRPr="001E2C81">
        <w:rPr>
          <w:rFonts w:ascii="Arial" w:eastAsia="Times New Roman" w:hAnsi="Arial" w:cs="Arial"/>
          <w:color w:val="000000"/>
          <w:sz w:val="27"/>
          <w:szCs w:val="27"/>
          <w:lang w:val="es-UY" w:eastAsia="es-UY"/>
        </w:rPr>
        <w:t>” (Libro de los muertos)</w:t>
      </w:r>
    </w:p>
    <w:p w14:paraId="394BC654" w14:textId="77777777" w:rsidR="001E2C81" w:rsidRPr="001E2C81" w:rsidRDefault="001E2C81" w:rsidP="001E2C81">
      <w:pPr>
        <w:numPr>
          <w:ilvl w:val="0"/>
          <w:numId w:val="1"/>
        </w:numPr>
        <w:shd w:val="clear" w:color="auto" w:fill="FFFFFF"/>
        <w:spacing w:after="0" w:line="240" w:lineRule="auto"/>
        <w:jc w:val="both"/>
        <w:rPr>
          <w:rFonts w:ascii="Calibri" w:eastAsia="Times New Roman" w:hAnsi="Calibri" w:cs="Calibri"/>
          <w:color w:val="000000"/>
          <w:lang w:val="es-UY" w:eastAsia="es-UY"/>
        </w:rPr>
      </w:pPr>
      <w:r w:rsidRPr="001E2C81">
        <w:rPr>
          <w:rFonts w:ascii="Arial" w:eastAsia="Times New Roman" w:hAnsi="Arial" w:cs="Arial"/>
          <w:color w:val="000000"/>
          <w:sz w:val="27"/>
          <w:szCs w:val="27"/>
          <w:lang w:val="es-UY" w:eastAsia="es-UY"/>
        </w:rPr>
        <w:t>En Mesopotamia: “</w:t>
      </w:r>
      <w:r w:rsidRPr="001E2C81">
        <w:rPr>
          <w:rFonts w:ascii="Arial" w:eastAsia="Times New Roman" w:hAnsi="Arial" w:cs="Arial"/>
          <w:i/>
          <w:iCs/>
          <w:color w:val="000000"/>
          <w:sz w:val="27"/>
          <w:szCs w:val="27"/>
          <w:lang w:val="es-UY" w:eastAsia="es-UY"/>
        </w:rPr>
        <w:t>Quien falsea la balanza, comete fraude, cambia las pesas… no saldrá ganando, arruinará su capital</w:t>
      </w:r>
      <w:r w:rsidRPr="001E2C81">
        <w:rPr>
          <w:rFonts w:ascii="Arial" w:eastAsia="Times New Roman" w:hAnsi="Arial" w:cs="Arial"/>
          <w:color w:val="000000"/>
          <w:sz w:val="27"/>
          <w:szCs w:val="27"/>
          <w:lang w:val="es-UY" w:eastAsia="es-UY"/>
        </w:rPr>
        <w:t xml:space="preserve">” (Himno a </w:t>
      </w:r>
      <w:proofErr w:type="spellStart"/>
      <w:r w:rsidRPr="001E2C81">
        <w:rPr>
          <w:rFonts w:ascii="Arial" w:eastAsia="Times New Roman" w:hAnsi="Arial" w:cs="Arial"/>
          <w:color w:val="000000"/>
          <w:sz w:val="27"/>
          <w:szCs w:val="27"/>
          <w:lang w:val="es-UY" w:eastAsia="es-UY"/>
        </w:rPr>
        <w:t>Šamaš</w:t>
      </w:r>
      <w:proofErr w:type="spellEnd"/>
      <w:r w:rsidRPr="001E2C81">
        <w:rPr>
          <w:rFonts w:ascii="Arial" w:eastAsia="Times New Roman" w:hAnsi="Arial" w:cs="Arial"/>
          <w:color w:val="000000"/>
          <w:sz w:val="27"/>
          <w:szCs w:val="27"/>
          <w:lang w:val="es-UY" w:eastAsia="es-UY"/>
        </w:rPr>
        <w:t>).</w:t>
      </w:r>
    </w:p>
    <w:p w14:paraId="2B044BED" w14:textId="77777777" w:rsidR="001E2C81" w:rsidRPr="001E2C81" w:rsidRDefault="001E2C81" w:rsidP="001E2C81">
      <w:pPr>
        <w:shd w:val="clear" w:color="auto" w:fill="FFFFFF"/>
        <w:spacing w:after="240" w:line="240" w:lineRule="auto"/>
        <w:rPr>
          <w:rFonts w:ascii="Arial" w:eastAsia="Times New Roman" w:hAnsi="Arial" w:cs="Arial"/>
          <w:color w:val="222222"/>
          <w:sz w:val="24"/>
          <w:szCs w:val="24"/>
          <w:lang w:val="es-UY" w:eastAsia="es-UY"/>
        </w:rPr>
      </w:pPr>
      <w:r w:rsidRPr="001E2C81">
        <w:rPr>
          <w:rFonts w:ascii="Arial" w:eastAsia="Times New Roman" w:hAnsi="Arial" w:cs="Arial"/>
          <w:color w:val="222222"/>
          <w:sz w:val="24"/>
          <w:szCs w:val="24"/>
          <w:lang w:val="es-UY" w:eastAsia="es-UY"/>
        </w:rPr>
        <w:t> </w:t>
      </w:r>
    </w:p>
    <w:p w14:paraId="5EE17A8B"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lang w:val="es-UY" w:eastAsia="es-UY"/>
        </w:rPr>
        <w:t>Pero más allá del dinero a costa del comercio, también el profeta enfrenta el comercio de personas. Si en 2,6 Amós denunciaba a los que venden como esclavos a los pobres, aquí denuncia a los que los compran habiendo provocado –falseando- sus deudas. La esclavitud en Israel era algo rechazado, ya que el que –por deudas- debía entregarse como esclavo, debía ser tratado por su “amo” como un verdadero hermano (Ex 21,1-11). En este caso el ambiente es el de la compra – venta (se lo ha llamado “capitalismo de rentas”) y parece que el negociante falsea el comercio a fin de servirse en su provecho de los pobres, incluso comprándolos por nada. Todo vale con tal de enriquecerse, para estos comerciantes. Y el profeta no duda en denunciarlo claramente.</w:t>
      </w:r>
    </w:p>
    <w:p w14:paraId="0B271039"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Times New Roman" w:eastAsia="Times New Roman" w:hAnsi="Times New Roman" w:cs="Times New Roman"/>
          <w:color w:val="000000"/>
          <w:sz w:val="27"/>
          <w:szCs w:val="27"/>
          <w:lang w:val="es-UY" w:eastAsia="es-UY"/>
        </w:rPr>
        <w:t> </w:t>
      </w:r>
    </w:p>
    <w:p w14:paraId="74A6197E"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Times New Roman" w:eastAsia="Times New Roman" w:hAnsi="Times New Roman" w:cs="Times New Roman"/>
          <w:color w:val="000000"/>
          <w:sz w:val="27"/>
          <w:szCs w:val="27"/>
          <w:lang w:val="es-UY" w:eastAsia="es-UY"/>
        </w:rPr>
        <w:t> </w:t>
      </w:r>
    </w:p>
    <w:p w14:paraId="232CFF38" w14:textId="77777777" w:rsidR="001E2C81" w:rsidRPr="001E2C81" w:rsidRDefault="001E2C81" w:rsidP="001E2C81">
      <w:pPr>
        <w:shd w:val="clear" w:color="auto" w:fill="FFFFFF"/>
        <w:spacing w:after="0" w:line="240" w:lineRule="auto"/>
        <w:rPr>
          <w:rFonts w:ascii="Arial" w:eastAsia="Times New Roman" w:hAnsi="Arial" w:cs="Arial"/>
          <w:color w:val="222222"/>
          <w:sz w:val="24"/>
          <w:szCs w:val="24"/>
          <w:lang w:val="es-UY" w:eastAsia="es-UY"/>
        </w:rPr>
      </w:pPr>
      <w:r w:rsidRPr="001E2C81">
        <w:rPr>
          <w:rFonts w:ascii="Arial" w:eastAsia="Times New Roman" w:hAnsi="Arial" w:cs="Arial"/>
          <w:b/>
          <w:bCs/>
          <w:color w:val="000000"/>
          <w:sz w:val="27"/>
          <w:szCs w:val="27"/>
          <w:lang w:val="es-UY" w:eastAsia="es-UY"/>
        </w:rPr>
        <w:t>Lectura de la primera carta del apóstol san Pablo a Timoteo</w:t>
      </w:r>
      <w:r w:rsidRPr="001E2C81">
        <w:rPr>
          <w:rFonts w:ascii="Arial" w:eastAsia="Times New Roman" w:hAnsi="Arial" w:cs="Arial"/>
          <w:color w:val="000000"/>
          <w:sz w:val="27"/>
          <w:szCs w:val="27"/>
          <w:lang w:val="es-UY" w:eastAsia="es-UY"/>
        </w:rPr>
        <w:t>     2, 1-8</w:t>
      </w:r>
      <w:r w:rsidRPr="001E2C81">
        <w:rPr>
          <w:rFonts w:ascii="Arial" w:eastAsia="Times New Roman" w:hAnsi="Arial" w:cs="Arial"/>
          <w:color w:val="000000"/>
          <w:sz w:val="27"/>
          <w:szCs w:val="27"/>
          <w:lang w:val="es-UY" w:eastAsia="es-UY"/>
        </w:rPr>
        <w:br/>
      </w:r>
      <w:r w:rsidRPr="001E2C81">
        <w:rPr>
          <w:rFonts w:ascii="Arial" w:eastAsia="Times New Roman" w:hAnsi="Arial" w:cs="Arial"/>
          <w:color w:val="000000"/>
          <w:sz w:val="27"/>
          <w:szCs w:val="27"/>
          <w:lang w:val="es-UY" w:eastAsia="es-UY"/>
        </w:rPr>
        <w:br/>
      </w:r>
      <w:r w:rsidRPr="001E2C81">
        <w:rPr>
          <w:rFonts w:ascii="Arial" w:eastAsia="Times New Roman" w:hAnsi="Arial" w:cs="Arial"/>
          <w:i/>
          <w:iCs/>
          <w:color w:val="000000"/>
          <w:sz w:val="27"/>
          <w:szCs w:val="27"/>
          <w:lang w:val="es-UY" w:eastAsia="es-UY"/>
        </w:rPr>
        <w:t>Resumen: Un discípulo de Pablo –en su nombre- presenta la universalidad de la comunidad y de la voluntad salvífica de Dios. La comunidad debe orar por todos, y particularmente por las autoridades a fin de vivir en paz. Esa oración debe llevarse a la práctica en todas partes.</w:t>
      </w:r>
    </w:p>
    <w:p w14:paraId="1047D858"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lang w:val="es-UY" w:eastAsia="es-UY"/>
        </w:rPr>
        <w:br/>
        <w:t>El autor de las cartas Pastorales escribe en nombre de Pablo, y pretende “estructurar” y “organizar” las comunidades. En este caso nos encontramos con una exhortación en referencia a la “oración” (</w:t>
      </w:r>
      <w:proofErr w:type="spellStart"/>
      <w:r w:rsidRPr="001E2C81">
        <w:rPr>
          <w:rFonts w:ascii="Arial" w:eastAsia="Times New Roman" w:hAnsi="Arial" w:cs="Arial"/>
          <w:i/>
          <w:iCs/>
          <w:color w:val="000000"/>
          <w:sz w:val="27"/>
          <w:szCs w:val="27"/>
          <w:lang w:val="es-UY" w:eastAsia="es-UY"/>
        </w:rPr>
        <w:t>deêsis</w:t>
      </w:r>
      <w:proofErr w:type="spellEnd"/>
      <w:r w:rsidRPr="001E2C81">
        <w:rPr>
          <w:rFonts w:ascii="Arial" w:eastAsia="Times New Roman" w:hAnsi="Arial" w:cs="Arial"/>
          <w:color w:val="000000"/>
          <w:sz w:val="27"/>
          <w:szCs w:val="27"/>
          <w:lang w:val="es-UY" w:eastAsia="es-UY"/>
        </w:rPr>
        <w:t>, </w:t>
      </w:r>
      <w:proofErr w:type="spellStart"/>
      <w:r w:rsidRPr="001E2C81">
        <w:rPr>
          <w:rFonts w:ascii="Arial" w:eastAsia="Times New Roman" w:hAnsi="Arial" w:cs="Arial"/>
          <w:i/>
          <w:iCs/>
          <w:color w:val="000000"/>
          <w:sz w:val="27"/>
          <w:szCs w:val="27"/>
          <w:lang w:val="es-UY" w:eastAsia="es-UY"/>
        </w:rPr>
        <w:t>proseujê</w:t>
      </w:r>
      <w:proofErr w:type="spellEnd"/>
      <w:r w:rsidRPr="001E2C81">
        <w:rPr>
          <w:rFonts w:ascii="Arial" w:eastAsia="Times New Roman" w:hAnsi="Arial" w:cs="Arial"/>
          <w:i/>
          <w:iCs/>
          <w:color w:val="000000"/>
          <w:sz w:val="27"/>
          <w:szCs w:val="27"/>
          <w:lang w:val="es-UY" w:eastAsia="es-UY"/>
        </w:rPr>
        <w:t xml:space="preserve">, </w:t>
      </w:r>
      <w:proofErr w:type="spellStart"/>
      <w:r w:rsidRPr="001E2C81">
        <w:rPr>
          <w:rFonts w:ascii="Arial" w:eastAsia="Times New Roman" w:hAnsi="Arial" w:cs="Arial"/>
          <w:i/>
          <w:iCs/>
          <w:color w:val="000000"/>
          <w:sz w:val="27"/>
          <w:szCs w:val="27"/>
          <w:lang w:val="es-UY" w:eastAsia="es-UY"/>
        </w:rPr>
        <w:t>énteuxis</w:t>
      </w:r>
      <w:proofErr w:type="spellEnd"/>
      <w:r w:rsidRPr="001E2C81">
        <w:rPr>
          <w:rFonts w:ascii="Arial" w:eastAsia="Times New Roman" w:hAnsi="Arial" w:cs="Arial"/>
          <w:i/>
          <w:iCs/>
          <w:color w:val="000000"/>
          <w:sz w:val="27"/>
          <w:szCs w:val="27"/>
          <w:lang w:val="es-UY" w:eastAsia="es-UY"/>
        </w:rPr>
        <w:t> </w:t>
      </w:r>
      <w:r w:rsidRPr="001E2C81">
        <w:rPr>
          <w:rFonts w:ascii="Arial" w:eastAsia="Times New Roman" w:hAnsi="Arial" w:cs="Arial"/>
          <w:color w:val="000000"/>
          <w:sz w:val="27"/>
          <w:szCs w:val="27"/>
          <w:lang w:val="es-UY" w:eastAsia="es-UY"/>
        </w:rPr>
        <w:t>y</w:t>
      </w:r>
      <w:r w:rsidRPr="001E2C81">
        <w:rPr>
          <w:rFonts w:ascii="Arial" w:eastAsia="Times New Roman" w:hAnsi="Arial" w:cs="Arial"/>
          <w:i/>
          <w:iCs/>
          <w:color w:val="000000"/>
          <w:sz w:val="27"/>
          <w:szCs w:val="27"/>
          <w:lang w:val="es-UY" w:eastAsia="es-UY"/>
        </w:rPr>
        <w:t> </w:t>
      </w:r>
      <w:proofErr w:type="spellStart"/>
      <w:r w:rsidRPr="001E2C81">
        <w:rPr>
          <w:rFonts w:ascii="Arial" w:eastAsia="Times New Roman" w:hAnsi="Arial" w:cs="Arial"/>
          <w:i/>
          <w:iCs/>
          <w:color w:val="000000"/>
          <w:sz w:val="27"/>
          <w:szCs w:val="27"/>
          <w:lang w:val="es-UY" w:eastAsia="es-UY"/>
        </w:rPr>
        <w:t>eujaristía</w:t>
      </w:r>
      <w:proofErr w:type="spellEnd"/>
      <w:r w:rsidRPr="001E2C81">
        <w:rPr>
          <w:rFonts w:ascii="Arial" w:eastAsia="Times New Roman" w:hAnsi="Arial" w:cs="Arial"/>
          <w:color w:val="000000"/>
          <w:sz w:val="27"/>
          <w:szCs w:val="27"/>
          <w:lang w:val="es-UY" w:eastAsia="es-UY"/>
        </w:rPr>
        <w:t>) y a la vida de “piedad” (</w:t>
      </w:r>
      <w:proofErr w:type="spellStart"/>
      <w:r w:rsidRPr="001E2C81">
        <w:rPr>
          <w:rFonts w:ascii="Arial" w:eastAsia="Times New Roman" w:hAnsi="Arial" w:cs="Arial"/>
          <w:i/>
          <w:iCs/>
          <w:color w:val="000000"/>
          <w:sz w:val="27"/>
          <w:szCs w:val="27"/>
          <w:lang w:val="es-UY" w:eastAsia="es-UY"/>
        </w:rPr>
        <w:t>eusébeia</w:t>
      </w:r>
      <w:proofErr w:type="spellEnd"/>
      <w:r w:rsidRPr="001E2C81">
        <w:rPr>
          <w:rFonts w:ascii="Arial" w:eastAsia="Times New Roman" w:hAnsi="Arial" w:cs="Arial"/>
          <w:i/>
          <w:iCs/>
          <w:color w:val="000000"/>
          <w:sz w:val="27"/>
          <w:szCs w:val="27"/>
          <w:lang w:val="es-UY" w:eastAsia="es-UY"/>
        </w:rPr>
        <w:t>; </w:t>
      </w:r>
      <w:r w:rsidRPr="001E2C81">
        <w:rPr>
          <w:rFonts w:ascii="Arial" w:eastAsia="Times New Roman" w:hAnsi="Arial" w:cs="Arial"/>
          <w:color w:val="000000"/>
          <w:sz w:val="27"/>
          <w:szCs w:val="27"/>
          <w:lang w:val="es-UY" w:eastAsia="es-UY"/>
        </w:rPr>
        <w:t xml:space="preserve">cf. </w:t>
      </w:r>
      <w:proofErr w:type="spellStart"/>
      <w:r w:rsidRPr="001E2C81">
        <w:rPr>
          <w:rFonts w:ascii="Arial" w:eastAsia="Times New Roman" w:hAnsi="Arial" w:cs="Arial"/>
          <w:color w:val="000000"/>
          <w:sz w:val="27"/>
          <w:szCs w:val="27"/>
          <w:lang w:val="es-UY" w:eastAsia="es-UY"/>
        </w:rPr>
        <w:t>Tit</w:t>
      </w:r>
      <w:proofErr w:type="spellEnd"/>
      <w:r w:rsidRPr="001E2C81">
        <w:rPr>
          <w:rFonts w:ascii="Arial" w:eastAsia="Times New Roman" w:hAnsi="Arial" w:cs="Arial"/>
          <w:color w:val="000000"/>
          <w:sz w:val="27"/>
          <w:szCs w:val="27"/>
          <w:lang w:val="es-UY" w:eastAsia="es-UY"/>
        </w:rPr>
        <w:t xml:space="preserve"> 1,1) en el “conocimiento de la verdad” (</w:t>
      </w:r>
      <w:proofErr w:type="spellStart"/>
      <w:r w:rsidRPr="001E2C81">
        <w:rPr>
          <w:rFonts w:ascii="Arial" w:eastAsia="Times New Roman" w:hAnsi="Arial" w:cs="Arial"/>
          <w:i/>
          <w:iCs/>
          <w:color w:val="000000"/>
          <w:sz w:val="27"/>
          <w:szCs w:val="27"/>
          <w:lang w:val="es-UY" w:eastAsia="es-UY"/>
        </w:rPr>
        <w:t>epignôsis</w:t>
      </w:r>
      <w:proofErr w:type="spellEnd"/>
      <w:r w:rsidRPr="001E2C81">
        <w:rPr>
          <w:rFonts w:ascii="Arial" w:eastAsia="Times New Roman" w:hAnsi="Arial" w:cs="Arial"/>
          <w:i/>
          <w:iCs/>
          <w:color w:val="000000"/>
          <w:sz w:val="27"/>
          <w:szCs w:val="27"/>
          <w:lang w:val="es-UY" w:eastAsia="es-UY"/>
        </w:rPr>
        <w:t xml:space="preserve"> </w:t>
      </w:r>
      <w:proofErr w:type="spellStart"/>
      <w:r w:rsidRPr="001E2C81">
        <w:rPr>
          <w:rFonts w:ascii="Arial" w:eastAsia="Times New Roman" w:hAnsi="Arial" w:cs="Arial"/>
          <w:i/>
          <w:iCs/>
          <w:color w:val="000000"/>
          <w:sz w:val="27"/>
          <w:szCs w:val="27"/>
          <w:lang w:val="es-UY" w:eastAsia="es-UY"/>
        </w:rPr>
        <w:t>aletheias,</w:t>
      </w:r>
      <w:r w:rsidRPr="001E2C81">
        <w:rPr>
          <w:rFonts w:ascii="Arial" w:eastAsia="Times New Roman" w:hAnsi="Arial" w:cs="Arial"/>
          <w:color w:val="000000"/>
          <w:sz w:val="27"/>
          <w:szCs w:val="27"/>
          <w:lang w:val="es-UY" w:eastAsia="es-UY"/>
        </w:rPr>
        <w:t>Tit</w:t>
      </w:r>
      <w:proofErr w:type="spellEnd"/>
      <w:r w:rsidRPr="001E2C81">
        <w:rPr>
          <w:rFonts w:ascii="Arial" w:eastAsia="Times New Roman" w:hAnsi="Arial" w:cs="Arial"/>
          <w:color w:val="000000"/>
          <w:sz w:val="27"/>
          <w:szCs w:val="27"/>
          <w:lang w:val="es-UY" w:eastAsia="es-UY"/>
        </w:rPr>
        <w:t xml:space="preserve"> 1,1). Todos estos términos han adquirido nuevos sentidos con el paso del tiempo, teniendo en cuenta que nos encontramos en la tercera generación cristiana.</w:t>
      </w:r>
    </w:p>
    <w:p w14:paraId="2F436902"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Times New Roman" w:eastAsia="Times New Roman" w:hAnsi="Times New Roman" w:cs="Times New Roman"/>
          <w:color w:val="000000"/>
          <w:sz w:val="27"/>
          <w:szCs w:val="27"/>
          <w:lang w:val="es-UY" w:eastAsia="es-UY"/>
        </w:rPr>
        <w:t> </w:t>
      </w:r>
    </w:p>
    <w:p w14:paraId="48203EAE"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lang w:val="es-UY" w:eastAsia="es-UY"/>
        </w:rPr>
        <w:t>Hay una relación entre la oración por “todos los hombres” (</w:t>
      </w:r>
      <w:proofErr w:type="spellStart"/>
      <w:r w:rsidRPr="001E2C81">
        <w:rPr>
          <w:rFonts w:ascii="Arial" w:eastAsia="Times New Roman" w:hAnsi="Arial" w:cs="Arial"/>
          <w:i/>
          <w:iCs/>
          <w:color w:val="000000"/>
          <w:sz w:val="27"/>
          <w:szCs w:val="27"/>
          <w:lang w:val="es-UY" w:eastAsia="es-UY"/>
        </w:rPr>
        <w:t>anthropos</w:t>
      </w:r>
      <w:proofErr w:type="spellEnd"/>
      <w:r w:rsidRPr="001E2C81">
        <w:rPr>
          <w:rFonts w:ascii="Arial" w:eastAsia="Times New Roman" w:hAnsi="Arial" w:cs="Arial"/>
          <w:color w:val="000000"/>
          <w:sz w:val="27"/>
          <w:szCs w:val="27"/>
          <w:lang w:val="es-UY" w:eastAsia="es-UY"/>
        </w:rPr>
        <w:t xml:space="preserve">) y que Dios quiere que “todos los hombres” se salven (cf. 4,10; </w:t>
      </w:r>
      <w:proofErr w:type="spellStart"/>
      <w:r w:rsidRPr="001E2C81">
        <w:rPr>
          <w:rFonts w:ascii="Arial" w:eastAsia="Times New Roman" w:hAnsi="Arial" w:cs="Arial"/>
          <w:color w:val="000000"/>
          <w:sz w:val="27"/>
          <w:szCs w:val="27"/>
          <w:lang w:val="es-UY" w:eastAsia="es-UY"/>
        </w:rPr>
        <w:t>Tit</w:t>
      </w:r>
      <w:proofErr w:type="spellEnd"/>
      <w:r w:rsidRPr="001E2C81">
        <w:rPr>
          <w:rFonts w:ascii="Arial" w:eastAsia="Times New Roman" w:hAnsi="Arial" w:cs="Arial"/>
          <w:color w:val="000000"/>
          <w:sz w:val="27"/>
          <w:szCs w:val="27"/>
          <w:lang w:val="es-UY" w:eastAsia="es-UY"/>
        </w:rPr>
        <w:t xml:space="preserve"> 2,11). El contraste entre todos (vv. 1.2.4.6.8) y “uno solo” (v.5) es importante en el relato. La salvación de todos es deseo de Dios, y “Pablo” se sabe mediador en esto (v.7).</w:t>
      </w:r>
    </w:p>
    <w:p w14:paraId="18116198"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Times New Roman" w:eastAsia="Times New Roman" w:hAnsi="Times New Roman" w:cs="Times New Roman"/>
          <w:color w:val="000000"/>
          <w:sz w:val="27"/>
          <w:szCs w:val="27"/>
          <w:lang w:val="es-UY" w:eastAsia="es-UY"/>
        </w:rPr>
        <w:t> </w:t>
      </w:r>
    </w:p>
    <w:p w14:paraId="6DD9C986"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lang w:val="es-UY" w:eastAsia="es-UY"/>
        </w:rPr>
        <w:t>La oración por las autoridades en muy importante en varios escritos cristianos (cf. Rom 13,1; 1 Pe 2,13). Siendo que ellos no participan en el culto al Emperador –como tampoco los judíos- deben mostrar con sus actitudes que esto no se debe a una actitud subversiva que pongan en peligro la “</w:t>
      </w:r>
      <w:proofErr w:type="spellStart"/>
      <w:r w:rsidRPr="001E2C81">
        <w:rPr>
          <w:rFonts w:ascii="Arial" w:eastAsia="Times New Roman" w:hAnsi="Arial" w:cs="Arial"/>
          <w:color w:val="000000"/>
          <w:sz w:val="27"/>
          <w:szCs w:val="27"/>
          <w:lang w:val="es-UY" w:eastAsia="es-UY"/>
        </w:rPr>
        <w:t>pax</w:t>
      </w:r>
      <w:proofErr w:type="spellEnd"/>
      <w:r w:rsidRPr="001E2C81">
        <w:rPr>
          <w:rFonts w:ascii="Arial" w:eastAsia="Times New Roman" w:hAnsi="Arial" w:cs="Arial"/>
          <w:color w:val="000000"/>
          <w:sz w:val="27"/>
          <w:szCs w:val="27"/>
          <w:lang w:val="es-UY" w:eastAsia="es-UY"/>
        </w:rPr>
        <w:t xml:space="preserve"> romana”; en el Templo de Jerusalén (destruido cuando se escribe esta carta) se ofrecen sacrificios diarios por el Emperador. Ciertamente esto no indica que las autoridades gozan de beneplácito incuestionable, ya que lo que se pretende es “poder vivir una vida tranquila y apacible” (v.2). De hecho, cuando esta autoridad exige –tal es el caso del Apocalipsis- acciones que la conciencia les veda a los cristianos, éstos se opondrán y serán perseguidos. De hecho, Cristo mismo dio su “testimonio” (</w:t>
      </w:r>
      <w:proofErr w:type="spellStart"/>
      <w:r w:rsidRPr="001E2C81">
        <w:rPr>
          <w:rFonts w:ascii="Arial" w:eastAsia="Times New Roman" w:hAnsi="Arial" w:cs="Arial"/>
          <w:i/>
          <w:iCs/>
          <w:color w:val="000000"/>
          <w:sz w:val="27"/>
          <w:szCs w:val="27"/>
          <w:lang w:val="es-UY" w:eastAsia="es-UY"/>
        </w:rPr>
        <w:t>martyríon</w:t>
      </w:r>
      <w:proofErr w:type="spellEnd"/>
      <w:r w:rsidRPr="001E2C81">
        <w:rPr>
          <w:rFonts w:ascii="Arial" w:eastAsia="Times New Roman" w:hAnsi="Arial" w:cs="Arial"/>
          <w:color w:val="000000"/>
          <w:sz w:val="27"/>
          <w:szCs w:val="27"/>
          <w:lang w:val="es-UY" w:eastAsia="es-UY"/>
        </w:rPr>
        <w:t>, v.6) dando la vida (2 Tim 1,8) en “rescate” (</w:t>
      </w:r>
      <w:proofErr w:type="spellStart"/>
      <w:r w:rsidRPr="001E2C81">
        <w:rPr>
          <w:rFonts w:ascii="Arial" w:eastAsia="Times New Roman" w:hAnsi="Arial" w:cs="Arial"/>
          <w:i/>
          <w:iCs/>
          <w:color w:val="000000"/>
          <w:sz w:val="27"/>
          <w:szCs w:val="27"/>
          <w:lang w:val="es-UY" w:eastAsia="es-UY"/>
        </w:rPr>
        <w:t>antílytron</w:t>
      </w:r>
      <w:proofErr w:type="spellEnd"/>
      <w:r w:rsidRPr="001E2C81">
        <w:rPr>
          <w:rFonts w:ascii="Arial" w:eastAsia="Times New Roman" w:hAnsi="Arial" w:cs="Arial"/>
          <w:color w:val="000000"/>
          <w:sz w:val="27"/>
          <w:szCs w:val="27"/>
          <w:lang w:val="es-UY" w:eastAsia="es-UY"/>
        </w:rPr>
        <w:t>) [es interesante que el discípulo de Pablo, que intenta tener buenas relaciones con las autoridades omite la idea escandalosa de la cruz, idea omitida en todas las cartas Pastorales]. Y “</w:t>
      </w:r>
      <w:r w:rsidRPr="001E2C81">
        <w:rPr>
          <w:rFonts w:ascii="Arial" w:eastAsia="Times New Roman" w:hAnsi="Arial" w:cs="Arial"/>
          <w:i/>
          <w:iCs/>
          <w:color w:val="000000"/>
          <w:sz w:val="27"/>
          <w:szCs w:val="27"/>
          <w:lang w:val="es-UY" w:eastAsia="es-UY"/>
        </w:rPr>
        <w:t>Pablo</w:t>
      </w:r>
      <w:r w:rsidRPr="001E2C81">
        <w:rPr>
          <w:rFonts w:ascii="Arial" w:eastAsia="Times New Roman" w:hAnsi="Arial" w:cs="Arial"/>
          <w:color w:val="000000"/>
          <w:sz w:val="27"/>
          <w:szCs w:val="27"/>
          <w:lang w:val="es-UY" w:eastAsia="es-UY"/>
        </w:rPr>
        <w:t>” mismo sabe que tiene un rol en este “</w:t>
      </w:r>
      <w:r w:rsidRPr="001E2C81">
        <w:rPr>
          <w:rFonts w:ascii="Arial" w:eastAsia="Times New Roman" w:hAnsi="Arial" w:cs="Arial"/>
          <w:i/>
          <w:iCs/>
          <w:color w:val="000000"/>
          <w:sz w:val="27"/>
          <w:szCs w:val="27"/>
          <w:lang w:val="es-UY" w:eastAsia="es-UY"/>
        </w:rPr>
        <w:t>rescate</w:t>
      </w:r>
      <w:r w:rsidRPr="001E2C81">
        <w:rPr>
          <w:rFonts w:ascii="Arial" w:eastAsia="Times New Roman" w:hAnsi="Arial" w:cs="Arial"/>
          <w:color w:val="000000"/>
          <w:sz w:val="27"/>
          <w:szCs w:val="27"/>
          <w:lang w:val="es-UY" w:eastAsia="es-UY"/>
        </w:rPr>
        <w:t>” por “</w:t>
      </w:r>
      <w:r w:rsidRPr="001E2C81">
        <w:rPr>
          <w:rFonts w:ascii="Arial" w:eastAsia="Times New Roman" w:hAnsi="Arial" w:cs="Arial"/>
          <w:i/>
          <w:iCs/>
          <w:color w:val="000000"/>
          <w:sz w:val="27"/>
          <w:szCs w:val="27"/>
          <w:lang w:val="es-UY" w:eastAsia="es-UY"/>
        </w:rPr>
        <w:t>todos</w:t>
      </w:r>
      <w:r w:rsidRPr="001E2C81">
        <w:rPr>
          <w:rFonts w:ascii="Arial" w:eastAsia="Times New Roman" w:hAnsi="Arial" w:cs="Arial"/>
          <w:color w:val="000000"/>
          <w:sz w:val="27"/>
          <w:szCs w:val="27"/>
          <w:lang w:val="es-UY" w:eastAsia="es-UY"/>
        </w:rPr>
        <w:t xml:space="preserve">” (cf. 2 Tim 1,11; </w:t>
      </w:r>
      <w:proofErr w:type="spellStart"/>
      <w:r w:rsidRPr="001E2C81">
        <w:rPr>
          <w:rFonts w:ascii="Arial" w:eastAsia="Times New Roman" w:hAnsi="Arial" w:cs="Arial"/>
          <w:color w:val="000000"/>
          <w:sz w:val="27"/>
          <w:szCs w:val="27"/>
          <w:lang w:val="es-UY" w:eastAsia="es-UY"/>
        </w:rPr>
        <w:t>Tit</w:t>
      </w:r>
      <w:proofErr w:type="spellEnd"/>
      <w:r w:rsidRPr="001E2C81">
        <w:rPr>
          <w:rFonts w:ascii="Arial" w:eastAsia="Times New Roman" w:hAnsi="Arial" w:cs="Arial"/>
          <w:color w:val="000000"/>
          <w:sz w:val="27"/>
          <w:szCs w:val="27"/>
          <w:lang w:val="es-UY" w:eastAsia="es-UY"/>
        </w:rPr>
        <w:t xml:space="preserve"> 1,3), para que “</w:t>
      </w:r>
      <w:r w:rsidRPr="001E2C81">
        <w:rPr>
          <w:rFonts w:ascii="Arial" w:eastAsia="Times New Roman" w:hAnsi="Arial" w:cs="Arial"/>
          <w:i/>
          <w:iCs/>
          <w:color w:val="000000"/>
          <w:sz w:val="27"/>
          <w:szCs w:val="27"/>
          <w:lang w:val="es-UY" w:eastAsia="es-UY"/>
        </w:rPr>
        <w:t>todos los hombres se salven</w:t>
      </w:r>
      <w:r w:rsidRPr="001E2C81">
        <w:rPr>
          <w:rFonts w:ascii="Arial" w:eastAsia="Times New Roman" w:hAnsi="Arial" w:cs="Arial"/>
          <w:color w:val="000000"/>
          <w:sz w:val="27"/>
          <w:szCs w:val="27"/>
          <w:lang w:val="es-UY" w:eastAsia="es-UY"/>
        </w:rPr>
        <w:t>” y “</w:t>
      </w:r>
      <w:r w:rsidRPr="001E2C81">
        <w:rPr>
          <w:rFonts w:ascii="Arial" w:eastAsia="Times New Roman" w:hAnsi="Arial" w:cs="Arial"/>
          <w:i/>
          <w:iCs/>
          <w:color w:val="000000"/>
          <w:sz w:val="27"/>
          <w:szCs w:val="27"/>
          <w:lang w:val="es-UY" w:eastAsia="es-UY"/>
        </w:rPr>
        <w:t>todos lleguen al conocimiento de la verdad</w:t>
      </w:r>
      <w:r w:rsidRPr="001E2C81">
        <w:rPr>
          <w:rFonts w:ascii="Arial" w:eastAsia="Times New Roman" w:hAnsi="Arial" w:cs="Arial"/>
          <w:color w:val="000000"/>
          <w:sz w:val="27"/>
          <w:szCs w:val="27"/>
          <w:lang w:val="es-UY" w:eastAsia="es-UY"/>
        </w:rPr>
        <w:t>. Ese rol tiene que ver con la predicación (</w:t>
      </w:r>
      <w:proofErr w:type="spellStart"/>
      <w:r w:rsidRPr="001E2C81">
        <w:rPr>
          <w:rFonts w:ascii="Arial" w:eastAsia="Times New Roman" w:hAnsi="Arial" w:cs="Arial"/>
          <w:i/>
          <w:iCs/>
          <w:color w:val="000000"/>
          <w:sz w:val="27"/>
          <w:szCs w:val="27"/>
          <w:lang w:val="es-UY" w:eastAsia="es-UY"/>
        </w:rPr>
        <w:t>kêryx</w:t>
      </w:r>
      <w:proofErr w:type="spellEnd"/>
      <w:r w:rsidRPr="001E2C81">
        <w:rPr>
          <w:rFonts w:ascii="Arial" w:eastAsia="Times New Roman" w:hAnsi="Arial" w:cs="Arial"/>
          <w:color w:val="000000"/>
          <w:sz w:val="27"/>
          <w:szCs w:val="27"/>
          <w:lang w:val="es-UY" w:eastAsia="es-UY"/>
        </w:rPr>
        <w:t>), el apostolado y ser maestro (v.7). La frase taxativa: “</w:t>
      </w:r>
      <w:r w:rsidRPr="001E2C81">
        <w:rPr>
          <w:rFonts w:ascii="Arial" w:eastAsia="Times New Roman" w:hAnsi="Arial" w:cs="Arial"/>
          <w:i/>
          <w:iCs/>
          <w:color w:val="000000"/>
          <w:sz w:val="27"/>
          <w:szCs w:val="27"/>
          <w:lang w:val="es-UY" w:eastAsia="es-UY"/>
        </w:rPr>
        <w:t>digo la verdad, y no miento</w:t>
      </w:r>
      <w:r w:rsidRPr="001E2C81">
        <w:rPr>
          <w:rFonts w:ascii="Arial" w:eastAsia="Times New Roman" w:hAnsi="Arial" w:cs="Arial"/>
          <w:color w:val="000000"/>
          <w:sz w:val="27"/>
          <w:szCs w:val="27"/>
          <w:lang w:val="es-UY" w:eastAsia="es-UY"/>
        </w:rPr>
        <w:t>” (cf. Rom 9,1; Gal 1,20) son solemnes para atestiguar la veracidad del dicho. Aunque en muchos elementos se imita el estilo de Pablo, el acento está no en el anuncio del evangelio sino en un conjunto doctrinal ya fijado (lo que permite señalar ortodoxias y reconocer a los falsos maestros).</w:t>
      </w:r>
    </w:p>
    <w:p w14:paraId="57151A8E"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Times New Roman" w:eastAsia="Times New Roman" w:hAnsi="Times New Roman" w:cs="Times New Roman"/>
          <w:color w:val="000000"/>
          <w:sz w:val="27"/>
          <w:szCs w:val="27"/>
          <w:lang w:val="es-UY" w:eastAsia="es-UY"/>
        </w:rPr>
        <w:t> </w:t>
      </w:r>
    </w:p>
    <w:p w14:paraId="5FA8A39C"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lang w:val="es-UY" w:eastAsia="es-UY"/>
        </w:rPr>
        <w:t>“En todo lugar” alude a la legislación cultual, (cf. Mal 1,11); si la voluntad salvífica de dios es universal, en todas partes se debe elevar la oración. La ira y las discusiones son las que fomentan los falsos maestros en el ambiente de las cartas pastorales (1 Tim 6,4; 2 Tim 2,14.23).</w:t>
      </w:r>
    </w:p>
    <w:p w14:paraId="63997255" w14:textId="77777777" w:rsidR="001E2C81" w:rsidRPr="001E2C81" w:rsidRDefault="001E2C81" w:rsidP="001E2C81">
      <w:pPr>
        <w:shd w:val="clear" w:color="auto" w:fill="FFFFFF"/>
        <w:spacing w:after="240" w:line="240" w:lineRule="auto"/>
        <w:rPr>
          <w:rFonts w:ascii="Arial" w:eastAsia="Times New Roman" w:hAnsi="Arial" w:cs="Arial"/>
          <w:color w:val="222222"/>
          <w:sz w:val="24"/>
          <w:szCs w:val="24"/>
          <w:lang w:val="es-UY" w:eastAsia="es-UY"/>
        </w:rPr>
      </w:pPr>
    </w:p>
    <w:p w14:paraId="10C41ED8"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lang w:val="es-UY" w:eastAsia="es-UY"/>
        </w:rPr>
        <w:t>+ </w:t>
      </w:r>
      <w:r w:rsidRPr="001E2C81">
        <w:rPr>
          <w:rFonts w:ascii="Arial" w:eastAsia="Times New Roman" w:hAnsi="Arial" w:cs="Arial"/>
          <w:b/>
          <w:bCs/>
          <w:color w:val="000000"/>
          <w:sz w:val="27"/>
          <w:szCs w:val="27"/>
          <w:lang w:val="es-UY" w:eastAsia="es-UY"/>
        </w:rPr>
        <w:t>Evangelio según san Lucas</w:t>
      </w:r>
      <w:r w:rsidRPr="001E2C81">
        <w:rPr>
          <w:rFonts w:ascii="Arial" w:eastAsia="Times New Roman" w:hAnsi="Arial" w:cs="Arial"/>
          <w:color w:val="000000"/>
          <w:sz w:val="27"/>
          <w:szCs w:val="27"/>
          <w:lang w:val="es-UY" w:eastAsia="es-UY"/>
        </w:rPr>
        <w:t>     16, 1-13</w:t>
      </w:r>
    </w:p>
    <w:p w14:paraId="4EDFF087" w14:textId="77777777" w:rsidR="001E2C81" w:rsidRPr="001E2C81" w:rsidRDefault="001E2C81" w:rsidP="001E2C81">
      <w:pPr>
        <w:shd w:val="clear" w:color="auto" w:fill="FFFFFF"/>
        <w:spacing w:after="270" w:line="240" w:lineRule="auto"/>
        <w:jc w:val="both"/>
        <w:rPr>
          <w:rFonts w:ascii="Arial" w:eastAsia="Times New Roman" w:hAnsi="Arial" w:cs="Arial"/>
          <w:color w:val="222222"/>
          <w:sz w:val="24"/>
          <w:szCs w:val="24"/>
          <w:lang w:val="es-UY" w:eastAsia="es-UY"/>
        </w:rPr>
      </w:pPr>
      <w:r w:rsidRPr="001E2C81">
        <w:rPr>
          <w:rFonts w:ascii="Times New Roman" w:eastAsia="Times New Roman" w:hAnsi="Times New Roman" w:cs="Times New Roman"/>
          <w:color w:val="000000"/>
          <w:sz w:val="27"/>
          <w:szCs w:val="27"/>
          <w:lang w:val="es-UY" w:eastAsia="es-UY"/>
        </w:rPr>
        <w:t> </w:t>
      </w:r>
    </w:p>
    <w:p w14:paraId="001B3D65" w14:textId="77777777" w:rsidR="001E2C81" w:rsidRPr="001E2C81" w:rsidRDefault="001E2C81" w:rsidP="001E2C81">
      <w:pPr>
        <w:shd w:val="clear" w:color="auto" w:fill="FFFFFF"/>
        <w:spacing w:after="0" w:line="240" w:lineRule="auto"/>
        <w:rPr>
          <w:rFonts w:ascii="Arial" w:eastAsia="Times New Roman" w:hAnsi="Arial" w:cs="Arial"/>
          <w:color w:val="222222"/>
          <w:sz w:val="24"/>
          <w:szCs w:val="24"/>
          <w:lang w:val="es-UY" w:eastAsia="es-UY"/>
        </w:rPr>
      </w:pPr>
      <w:r w:rsidRPr="001E2C81">
        <w:rPr>
          <w:rFonts w:ascii="Arial" w:eastAsia="Times New Roman" w:hAnsi="Arial" w:cs="Arial"/>
          <w:i/>
          <w:iCs/>
          <w:color w:val="000000"/>
          <w:sz w:val="24"/>
          <w:szCs w:val="24"/>
          <w:lang w:val="es-UY" w:eastAsia="es-UY"/>
        </w:rPr>
        <w:t>Resumen: Con una parábola donde se destaca la astucia de un estafador para seguir adelante, Jesús remarca cuánta más astucia deberán tener los discípulos haciéndose amigos de los pobres compartiendo sus bienes. Cuando el amor al dinero sustituye el proyecto de Dios manifestado en Jesús, éste se ha transformado en un ídolo.</w:t>
      </w:r>
    </w:p>
    <w:p w14:paraId="300EF0B5"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lang w:val="es-UY" w:eastAsia="es-UY"/>
        </w:rPr>
        <w:br/>
        <w:t>El evangelio comienza con una parábola (vv.1-7), y concluye con su aplicación práctica dirigida a los oyentes (vv.9-12): “</w:t>
      </w:r>
      <w:r w:rsidRPr="001E2C81">
        <w:rPr>
          <w:rFonts w:ascii="Arial" w:eastAsia="Times New Roman" w:hAnsi="Arial" w:cs="Arial"/>
          <w:i/>
          <w:iCs/>
          <w:color w:val="000000"/>
          <w:sz w:val="27"/>
          <w:szCs w:val="27"/>
          <w:lang w:val="es-UY" w:eastAsia="es-UY"/>
        </w:rPr>
        <w:t>yo les digo</w:t>
      </w:r>
      <w:r w:rsidRPr="001E2C81">
        <w:rPr>
          <w:rFonts w:ascii="Arial" w:eastAsia="Times New Roman" w:hAnsi="Arial" w:cs="Arial"/>
          <w:color w:val="000000"/>
          <w:sz w:val="27"/>
          <w:szCs w:val="27"/>
          <w:lang w:val="es-UY" w:eastAsia="es-UY"/>
        </w:rPr>
        <w:t>”, todas propias de Lucas. Finalmente el texto destaca –a modo de síntesis- un dicho de Jesús proveniente del documento Q sobre los dos “</w:t>
      </w:r>
      <w:r w:rsidRPr="001E2C81">
        <w:rPr>
          <w:rFonts w:ascii="Arial" w:eastAsia="Times New Roman" w:hAnsi="Arial" w:cs="Arial"/>
          <w:i/>
          <w:iCs/>
          <w:color w:val="000000"/>
          <w:sz w:val="27"/>
          <w:szCs w:val="27"/>
          <w:lang w:val="es-UY" w:eastAsia="es-UY"/>
        </w:rPr>
        <w:t>señores</w:t>
      </w:r>
      <w:r w:rsidRPr="001E2C81">
        <w:rPr>
          <w:rFonts w:ascii="Arial" w:eastAsia="Times New Roman" w:hAnsi="Arial" w:cs="Arial"/>
          <w:color w:val="000000"/>
          <w:sz w:val="27"/>
          <w:szCs w:val="27"/>
          <w:lang w:val="es-UY" w:eastAsia="es-UY"/>
        </w:rPr>
        <w:t>” (v.13). Hay algunos elementos de no fácil comprensión, como veremos, pero el sentido fundamental es simple; se trata de un </w:t>
      </w:r>
      <w:proofErr w:type="spellStart"/>
      <w:r w:rsidRPr="001E2C81">
        <w:rPr>
          <w:rFonts w:ascii="Arial" w:eastAsia="Times New Roman" w:hAnsi="Arial" w:cs="Arial"/>
          <w:i/>
          <w:iCs/>
          <w:color w:val="000000"/>
          <w:sz w:val="27"/>
          <w:szCs w:val="27"/>
          <w:lang w:val="es-UY" w:eastAsia="es-UY"/>
        </w:rPr>
        <w:t>qal</w:t>
      </w:r>
      <w:proofErr w:type="spellEnd"/>
      <w:r w:rsidRPr="001E2C81">
        <w:rPr>
          <w:rFonts w:ascii="Arial" w:eastAsia="Times New Roman" w:hAnsi="Arial" w:cs="Arial"/>
          <w:i/>
          <w:iCs/>
          <w:color w:val="000000"/>
          <w:sz w:val="27"/>
          <w:szCs w:val="27"/>
          <w:lang w:val="es-UY" w:eastAsia="es-UY"/>
        </w:rPr>
        <w:t xml:space="preserve"> </w:t>
      </w:r>
      <w:proofErr w:type="spellStart"/>
      <w:r w:rsidRPr="001E2C81">
        <w:rPr>
          <w:rFonts w:ascii="Arial" w:eastAsia="Times New Roman" w:hAnsi="Arial" w:cs="Arial"/>
          <w:i/>
          <w:iCs/>
          <w:color w:val="000000"/>
          <w:sz w:val="27"/>
          <w:szCs w:val="27"/>
          <w:lang w:val="es-UY" w:eastAsia="es-UY"/>
        </w:rPr>
        <w:t>w</w:t>
      </w:r>
      <w:r w:rsidRPr="001E2C81">
        <w:rPr>
          <w:rFonts w:ascii="Arial" w:eastAsia="Times New Roman" w:hAnsi="Arial" w:cs="Arial"/>
          <w:i/>
          <w:iCs/>
          <w:color w:val="000000"/>
          <w:sz w:val="27"/>
          <w:szCs w:val="27"/>
          <w:vertAlign w:val="superscript"/>
          <w:lang w:val="es-UY" w:eastAsia="es-UY"/>
        </w:rPr>
        <w:t>a</w:t>
      </w:r>
      <w:r w:rsidRPr="001E2C81">
        <w:rPr>
          <w:rFonts w:ascii="Arial" w:eastAsia="Times New Roman" w:hAnsi="Arial" w:cs="Arial"/>
          <w:i/>
          <w:iCs/>
          <w:color w:val="000000"/>
          <w:sz w:val="27"/>
          <w:szCs w:val="27"/>
          <w:lang w:val="es-UY" w:eastAsia="es-UY"/>
        </w:rPr>
        <w:t>homer</w:t>
      </w:r>
      <w:proofErr w:type="spellEnd"/>
      <w:r w:rsidRPr="001E2C81">
        <w:rPr>
          <w:rFonts w:ascii="Arial" w:eastAsia="Times New Roman" w:hAnsi="Arial" w:cs="Arial"/>
          <w:color w:val="000000"/>
          <w:sz w:val="27"/>
          <w:szCs w:val="27"/>
          <w:lang w:val="es-UY" w:eastAsia="es-UY"/>
        </w:rPr>
        <w:t>, ese modo característico de comentar “de menor a mayor”. Veamos:</w:t>
      </w:r>
    </w:p>
    <w:p w14:paraId="48351F41"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Times New Roman" w:eastAsia="Times New Roman" w:hAnsi="Times New Roman" w:cs="Times New Roman"/>
          <w:color w:val="000000"/>
          <w:sz w:val="27"/>
          <w:szCs w:val="27"/>
          <w:lang w:val="es-UY" w:eastAsia="es-UY"/>
        </w:rPr>
        <w:t> </w:t>
      </w:r>
    </w:p>
    <w:p w14:paraId="38FCDE20"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lang w:val="es-UY" w:eastAsia="es-UY"/>
        </w:rPr>
        <w:t>El “hombre rico” de la parábola tiene un ecónomo; en este caso –a pesar que Lucas es crítico de los ricos- no parece que deba entenderse en un sentido negativo; el administrador y los contratos de la narración lo requieren. En el NT el término (</w:t>
      </w:r>
      <w:proofErr w:type="spellStart"/>
      <w:r w:rsidRPr="001E2C81">
        <w:rPr>
          <w:rFonts w:ascii="Arial" w:eastAsia="Times New Roman" w:hAnsi="Arial" w:cs="Arial"/>
          <w:i/>
          <w:iCs/>
          <w:color w:val="000000"/>
          <w:sz w:val="27"/>
          <w:szCs w:val="27"/>
          <w:lang w:val="es-UY" w:eastAsia="es-UY"/>
        </w:rPr>
        <w:t>oikonómos</w:t>
      </w:r>
      <w:proofErr w:type="spellEnd"/>
      <w:r w:rsidRPr="001E2C81">
        <w:rPr>
          <w:rFonts w:ascii="Arial" w:eastAsia="Times New Roman" w:hAnsi="Arial" w:cs="Arial"/>
          <w:color w:val="000000"/>
          <w:sz w:val="27"/>
          <w:szCs w:val="27"/>
          <w:lang w:val="es-UY" w:eastAsia="es-UY"/>
        </w:rPr>
        <w:t xml:space="preserve">) se encuentra solamente en los textos de cierta influencia paulina: x1 en 1 Pe, x1 en </w:t>
      </w:r>
      <w:proofErr w:type="spellStart"/>
      <w:r w:rsidRPr="001E2C81">
        <w:rPr>
          <w:rFonts w:ascii="Arial" w:eastAsia="Times New Roman" w:hAnsi="Arial" w:cs="Arial"/>
          <w:color w:val="000000"/>
          <w:sz w:val="27"/>
          <w:szCs w:val="27"/>
          <w:lang w:val="es-UY" w:eastAsia="es-UY"/>
        </w:rPr>
        <w:t>Tit</w:t>
      </w:r>
      <w:proofErr w:type="spellEnd"/>
      <w:r w:rsidRPr="001E2C81">
        <w:rPr>
          <w:rFonts w:ascii="Arial" w:eastAsia="Times New Roman" w:hAnsi="Arial" w:cs="Arial"/>
          <w:color w:val="000000"/>
          <w:sz w:val="27"/>
          <w:szCs w:val="27"/>
          <w:lang w:val="es-UY" w:eastAsia="es-UY"/>
        </w:rPr>
        <w:t xml:space="preserve">, x4 en Pablo y x4 en </w:t>
      </w:r>
      <w:proofErr w:type="spellStart"/>
      <w:r w:rsidRPr="001E2C81">
        <w:rPr>
          <w:rFonts w:ascii="Arial" w:eastAsia="Times New Roman" w:hAnsi="Arial" w:cs="Arial"/>
          <w:color w:val="000000"/>
          <w:sz w:val="27"/>
          <w:szCs w:val="27"/>
          <w:lang w:val="es-UY" w:eastAsia="es-UY"/>
        </w:rPr>
        <w:t>Lc</w:t>
      </w:r>
      <w:proofErr w:type="spellEnd"/>
      <w:r w:rsidRPr="001E2C81">
        <w:rPr>
          <w:rFonts w:ascii="Arial" w:eastAsia="Times New Roman" w:hAnsi="Arial" w:cs="Arial"/>
          <w:color w:val="000000"/>
          <w:sz w:val="27"/>
          <w:szCs w:val="27"/>
          <w:lang w:val="es-UY" w:eastAsia="es-UY"/>
        </w:rPr>
        <w:t xml:space="preserve"> (fuera de este texto, en 12,42. El término semejante, “economía” x2 en </w:t>
      </w:r>
      <w:proofErr w:type="spellStart"/>
      <w:r w:rsidRPr="001E2C81">
        <w:rPr>
          <w:rFonts w:ascii="Arial" w:eastAsia="Times New Roman" w:hAnsi="Arial" w:cs="Arial"/>
          <w:color w:val="000000"/>
          <w:sz w:val="27"/>
          <w:szCs w:val="27"/>
          <w:lang w:val="es-UY" w:eastAsia="es-UY"/>
        </w:rPr>
        <w:t>Lc</w:t>
      </w:r>
      <w:proofErr w:type="spellEnd"/>
      <w:r w:rsidRPr="001E2C81">
        <w:rPr>
          <w:rFonts w:ascii="Arial" w:eastAsia="Times New Roman" w:hAnsi="Arial" w:cs="Arial"/>
          <w:color w:val="000000"/>
          <w:sz w:val="27"/>
          <w:szCs w:val="27"/>
          <w:lang w:val="es-UY" w:eastAsia="es-UY"/>
        </w:rPr>
        <w:t xml:space="preserve">, x1 en Pablo, x5 en las </w:t>
      </w:r>
      <w:proofErr w:type="spellStart"/>
      <w:r w:rsidRPr="001E2C81">
        <w:rPr>
          <w:rFonts w:ascii="Arial" w:eastAsia="Times New Roman" w:hAnsi="Arial" w:cs="Arial"/>
          <w:color w:val="000000"/>
          <w:sz w:val="27"/>
          <w:szCs w:val="27"/>
          <w:lang w:val="es-UY" w:eastAsia="es-UY"/>
        </w:rPr>
        <w:t>deuteropaulinas</w:t>
      </w:r>
      <w:proofErr w:type="spellEnd"/>
      <w:r w:rsidRPr="001E2C81">
        <w:rPr>
          <w:rFonts w:ascii="Arial" w:eastAsia="Times New Roman" w:hAnsi="Arial" w:cs="Arial"/>
          <w:color w:val="000000"/>
          <w:sz w:val="27"/>
          <w:szCs w:val="27"/>
          <w:lang w:val="es-UY" w:eastAsia="es-UY"/>
        </w:rPr>
        <w:t xml:space="preserve"> o pastorales). Es interesante e ilustrativo un texto paulino sobre esto: “</w:t>
      </w:r>
      <w:r w:rsidRPr="001E2C81">
        <w:rPr>
          <w:rFonts w:ascii="Arial" w:eastAsia="Times New Roman" w:hAnsi="Arial" w:cs="Arial"/>
          <w:i/>
          <w:iCs/>
          <w:color w:val="000000"/>
          <w:sz w:val="27"/>
          <w:szCs w:val="27"/>
          <w:lang w:val="es-UY" w:eastAsia="es-UY"/>
        </w:rPr>
        <w:t>lo que se exige de los administradores es que sean fieles</w:t>
      </w:r>
      <w:r w:rsidRPr="001E2C81">
        <w:rPr>
          <w:rFonts w:ascii="Arial" w:eastAsia="Times New Roman" w:hAnsi="Arial" w:cs="Arial"/>
          <w:color w:val="000000"/>
          <w:sz w:val="27"/>
          <w:szCs w:val="27"/>
          <w:lang w:val="es-UY" w:eastAsia="es-UY"/>
        </w:rPr>
        <w:t xml:space="preserve">” (1 </w:t>
      </w:r>
      <w:proofErr w:type="spellStart"/>
      <w:r w:rsidRPr="001E2C81">
        <w:rPr>
          <w:rFonts w:ascii="Arial" w:eastAsia="Times New Roman" w:hAnsi="Arial" w:cs="Arial"/>
          <w:color w:val="000000"/>
          <w:sz w:val="27"/>
          <w:szCs w:val="27"/>
          <w:lang w:val="es-UY" w:eastAsia="es-UY"/>
        </w:rPr>
        <w:t>Cor</w:t>
      </w:r>
      <w:proofErr w:type="spellEnd"/>
      <w:r w:rsidRPr="001E2C81">
        <w:rPr>
          <w:rFonts w:ascii="Arial" w:eastAsia="Times New Roman" w:hAnsi="Arial" w:cs="Arial"/>
          <w:color w:val="000000"/>
          <w:sz w:val="27"/>
          <w:szCs w:val="27"/>
          <w:lang w:val="es-UY" w:eastAsia="es-UY"/>
        </w:rPr>
        <w:t xml:space="preserve"> 4,2). Lo cierto es que en este caso, este administrador no lo es. La situación está planteada: el verbo “hacer” es el punto de partida: ¿qué haré? (v.3), “esto haré? (v.4); y lo que el ecónomo hará será lo que desencadenará la conclusión de Jesús. La respuesta tiene dos planteos extremos (trabajar y mendigar) que se responden ambos negativamente, no lo hará. Lo que el ecónomo pretende es que “</w:t>
      </w:r>
      <w:r w:rsidRPr="001E2C81">
        <w:rPr>
          <w:rFonts w:ascii="Arial" w:eastAsia="Times New Roman" w:hAnsi="Arial" w:cs="Arial"/>
          <w:i/>
          <w:iCs/>
          <w:color w:val="000000"/>
          <w:sz w:val="27"/>
          <w:szCs w:val="27"/>
          <w:lang w:val="es-UY" w:eastAsia="es-UY"/>
        </w:rPr>
        <w:t>haya quienes lo acojan en sus casas</w:t>
      </w:r>
      <w:r w:rsidRPr="001E2C81">
        <w:rPr>
          <w:rFonts w:ascii="Arial" w:eastAsia="Times New Roman" w:hAnsi="Arial" w:cs="Arial"/>
          <w:color w:val="000000"/>
          <w:sz w:val="27"/>
          <w:szCs w:val="27"/>
          <w:lang w:val="es-UY" w:eastAsia="es-UY"/>
        </w:rPr>
        <w:t>” (v.4) y aquí está la clave. Lo que el administrador hará (vv.5-7) es en orden a conseguir eso. La parábola concluye con un reconocimiento del “señor” (v.8). A continuación encontramos la referencia al auditorio de Jesús (“</w:t>
      </w:r>
      <w:r w:rsidRPr="001E2C81">
        <w:rPr>
          <w:rFonts w:ascii="Arial" w:eastAsia="Times New Roman" w:hAnsi="Arial" w:cs="Arial"/>
          <w:i/>
          <w:iCs/>
          <w:color w:val="000000"/>
          <w:sz w:val="27"/>
          <w:szCs w:val="27"/>
          <w:lang w:val="es-UY" w:eastAsia="es-UY"/>
        </w:rPr>
        <w:t>yo les digo</w:t>
      </w:r>
      <w:r w:rsidRPr="001E2C81">
        <w:rPr>
          <w:rFonts w:ascii="Arial" w:eastAsia="Times New Roman" w:hAnsi="Arial" w:cs="Arial"/>
          <w:color w:val="000000"/>
          <w:sz w:val="27"/>
          <w:szCs w:val="27"/>
          <w:lang w:val="es-UY" w:eastAsia="es-UY"/>
        </w:rPr>
        <w:t>…”). Notemos algunos elementos:</w:t>
      </w:r>
    </w:p>
    <w:p w14:paraId="57E23F79"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Times New Roman" w:eastAsia="Times New Roman" w:hAnsi="Times New Roman" w:cs="Times New Roman"/>
          <w:color w:val="000000"/>
          <w:sz w:val="27"/>
          <w:szCs w:val="27"/>
          <w:lang w:val="es-UY" w:eastAsia="es-UY"/>
        </w:rPr>
        <w:t> </w:t>
      </w:r>
    </w:p>
    <w:p w14:paraId="1DA9FA99"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lang w:val="es-UY" w:eastAsia="es-UY"/>
        </w:rPr>
        <w:t>v.1: el verbo </w:t>
      </w:r>
      <w:r w:rsidRPr="001E2C81">
        <w:rPr>
          <w:rFonts w:ascii="Arial" w:eastAsia="Times New Roman" w:hAnsi="Arial" w:cs="Arial"/>
          <w:i/>
          <w:iCs/>
          <w:color w:val="000000"/>
          <w:sz w:val="27"/>
          <w:szCs w:val="27"/>
          <w:lang w:val="es-UY" w:eastAsia="es-UY"/>
        </w:rPr>
        <w:t>dilapidar</w:t>
      </w:r>
      <w:r w:rsidRPr="001E2C81">
        <w:rPr>
          <w:rFonts w:ascii="Arial" w:eastAsia="Times New Roman" w:hAnsi="Arial" w:cs="Arial"/>
          <w:color w:val="000000"/>
          <w:sz w:val="27"/>
          <w:szCs w:val="27"/>
          <w:lang w:val="es-UY" w:eastAsia="es-UY"/>
        </w:rPr>
        <w:t> lo acabamos de encontrar en la parábola del padre y los dos hijos, cf. 15,13; los </w:t>
      </w:r>
      <w:r w:rsidRPr="001E2C81">
        <w:rPr>
          <w:rFonts w:ascii="Arial" w:eastAsia="Times New Roman" w:hAnsi="Arial" w:cs="Arial"/>
          <w:i/>
          <w:iCs/>
          <w:color w:val="000000"/>
          <w:sz w:val="27"/>
          <w:szCs w:val="27"/>
          <w:lang w:val="es-UY" w:eastAsia="es-UY"/>
        </w:rPr>
        <w:t>bienes</w:t>
      </w:r>
      <w:r w:rsidRPr="001E2C81">
        <w:rPr>
          <w:rFonts w:ascii="Arial" w:eastAsia="Times New Roman" w:hAnsi="Arial" w:cs="Arial"/>
          <w:color w:val="000000"/>
          <w:sz w:val="27"/>
          <w:szCs w:val="27"/>
          <w:lang w:val="es-UY" w:eastAsia="es-UY"/>
        </w:rPr>
        <w:t> son un tema habitual en Lucas (8,3; 11,21; 12,15.33.44; 14,33;19,8; Hch 4,32);</w:t>
      </w:r>
    </w:p>
    <w:p w14:paraId="1CFF79CE"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Times New Roman" w:eastAsia="Times New Roman" w:hAnsi="Times New Roman" w:cs="Times New Roman"/>
          <w:color w:val="000000"/>
          <w:sz w:val="27"/>
          <w:szCs w:val="27"/>
          <w:lang w:val="es-UY" w:eastAsia="es-UY"/>
        </w:rPr>
        <w:t> </w:t>
      </w:r>
    </w:p>
    <w:p w14:paraId="0FF08C7C"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lang w:val="es-UY" w:eastAsia="es-UY"/>
        </w:rPr>
        <w:t>vv.1.2.3.4.8: “</w:t>
      </w:r>
      <w:r w:rsidRPr="001E2C81">
        <w:rPr>
          <w:rFonts w:ascii="Arial" w:eastAsia="Times New Roman" w:hAnsi="Arial" w:cs="Arial"/>
          <w:i/>
          <w:iCs/>
          <w:color w:val="000000"/>
          <w:sz w:val="27"/>
          <w:szCs w:val="27"/>
          <w:lang w:val="es-UY" w:eastAsia="es-UY"/>
        </w:rPr>
        <w:t>administrador</w:t>
      </w:r>
      <w:r w:rsidRPr="001E2C81">
        <w:rPr>
          <w:rFonts w:ascii="Arial" w:eastAsia="Times New Roman" w:hAnsi="Arial" w:cs="Arial"/>
          <w:color w:val="000000"/>
          <w:sz w:val="27"/>
          <w:szCs w:val="27"/>
          <w:lang w:val="es-UY" w:eastAsia="es-UY"/>
        </w:rPr>
        <w:t>”, “</w:t>
      </w:r>
      <w:r w:rsidRPr="001E2C81">
        <w:rPr>
          <w:rFonts w:ascii="Arial" w:eastAsia="Times New Roman" w:hAnsi="Arial" w:cs="Arial"/>
          <w:i/>
          <w:iCs/>
          <w:color w:val="000000"/>
          <w:sz w:val="27"/>
          <w:szCs w:val="27"/>
          <w:lang w:val="es-UY" w:eastAsia="es-UY"/>
        </w:rPr>
        <w:t>administración</w:t>
      </w:r>
      <w:r w:rsidRPr="001E2C81">
        <w:rPr>
          <w:rFonts w:ascii="Arial" w:eastAsia="Times New Roman" w:hAnsi="Arial" w:cs="Arial"/>
          <w:color w:val="000000"/>
          <w:sz w:val="27"/>
          <w:szCs w:val="27"/>
          <w:lang w:val="es-UY" w:eastAsia="es-UY"/>
        </w:rPr>
        <w:t>”, “</w:t>
      </w:r>
      <w:r w:rsidRPr="001E2C81">
        <w:rPr>
          <w:rFonts w:ascii="Arial" w:eastAsia="Times New Roman" w:hAnsi="Arial" w:cs="Arial"/>
          <w:i/>
          <w:iCs/>
          <w:color w:val="000000"/>
          <w:sz w:val="27"/>
          <w:szCs w:val="27"/>
          <w:lang w:val="es-UY" w:eastAsia="es-UY"/>
        </w:rPr>
        <w:t>administrar</w:t>
      </w:r>
      <w:r w:rsidRPr="001E2C81">
        <w:rPr>
          <w:rFonts w:ascii="Arial" w:eastAsia="Times New Roman" w:hAnsi="Arial" w:cs="Arial"/>
          <w:color w:val="000000"/>
          <w:sz w:val="27"/>
          <w:szCs w:val="27"/>
          <w:lang w:val="es-UY" w:eastAsia="es-UY"/>
        </w:rPr>
        <w:t xml:space="preserve">” son frecuentes en el texto, y los lectores de </w:t>
      </w:r>
      <w:proofErr w:type="spellStart"/>
      <w:r w:rsidRPr="001E2C81">
        <w:rPr>
          <w:rFonts w:ascii="Arial" w:eastAsia="Times New Roman" w:hAnsi="Arial" w:cs="Arial"/>
          <w:color w:val="000000"/>
          <w:sz w:val="27"/>
          <w:szCs w:val="27"/>
          <w:lang w:val="es-UY" w:eastAsia="es-UY"/>
        </w:rPr>
        <w:t>Lc</w:t>
      </w:r>
      <w:proofErr w:type="spellEnd"/>
      <w:r w:rsidRPr="001E2C81">
        <w:rPr>
          <w:rFonts w:ascii="Arial" w:eastAsia="Times New Roman" w:hAnsi="Arial" w:cs="Arial"/>
          <w:color w:val="000000"/>
          <w:sz w:val="27"/>
          <w:szCs w:val="27"/>
          <w:lang w:val="es-UY" w:eastAsia="es-UY"/>
        </w:rPr>
        <w:t xml:space="preserve"> ya han oído acerca de un administrador (</w:t>
      </w:r>
      <w:proofErr w:type="spellStart"/>
      <w:r w:rsidRPr="001E2C81">
        <w:rPr>
          <w:rFonts w:ascii="Arial" w:eastAsia="Times New Roman" w:hAnsi="Arial" w:cs="Arial"/>
          <w:color w:val="000000"/>
          <w:sz w:val="27"/>
          <w:szCs w:val="27"/>
          <w:lang w:val="es-UY" w:eastAsia="es-UY"/>
        </w:rPr>
        <w:t>Lc</w:t>
      </w:r>
      <w:proofErr w:type="spellEnd"/>
      <w:r w:rsidRPr="001E2C81">
        <w:rPr>
          <w:rFonts w:ascii="Arial" w:eastAsia="Times New Roman" w:hAnsi="Arial" w:cs="Arial"/>
          <w:color w:val="000000"/>
          <w:sz w:val="27"/>
          <w:szCs w:val="27"/>
          <w:lang w:val="es-UY" w:eastAsia="es-UY"/>
        </w:rPr>
        <w:t xml:space="preserve"> 12.42-46);</w:t>
      </w:r>
    </w:p>
    <w:p w14:paraId="1A4A30D0"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Times New Roman" w:eastAsia="Times New Roman" w:hAnsi="Times New Roman" w:cs="Times New Roman"/>
          <w:color w:val="000000"/>
          <w:sz w:val="27"/>
          <w:szCs w:val="27"/>
          <w:lang w:val="es-UY" w:eastAsia="es-UY"/>
        </w:rPr>
        <w:t> </w:t>
      </w:r>
    </w:p>
    <w:p w14:paraId="2B3F6525"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lang w:val="es-UY" w:eastAsia="es-UY"/>
        </w:rPr>
        <w:t>v.3: “</w:t>
      </w:r>
      <w:r w:rsidRPr="001E2C81">
        <w:rPr>
          <w:rFonts w:ascii="Arial" w:eastAsia="Times New Roman" w:hAnsi="Arial" w:cs="Arial"/>
          <w:i/>
          <w:iCs/>
          <w:color w:val="000000"/>
          <w:sz w:val="27"/>
          <w:szCs w:val="27"/>
          <w:lang w:val="es-UY" w:eastAsia="es-UY"/>
        </w:rPr>
        <w:t>se dijo a sí mismo</w:t>
      </w:r>
      <w:r w:rsidRPr="001E2C81">
        <w:rPr>
          <w:rFonts w:ascii="Arial" w:eastAsia="Times New Roman" w:hAnsi="Arial" w:cs="Arial"/>
          <w:color w:val="000000"/>
          <w:sz w:val="27"/>
          <w:szCs w:val="27"/>
          <w:lang w:val="es-UY" w:eastAsia="es-UY"/>
        </w:rPr>
        <w:t>”, los monólogos interiores son frecuentes en las parábolas de Lucas (cf. 12,17; 15,17); </w:t>
      </w:r>
    </w:p>
    <w:p w14:paraId="3A17FE27"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lang w:val="es-UY" w:eastAsia="es-UY"/>
        </w:rPr>
        <w:br/>
        <w:t>“</w:t>
      </w:r>
      <w:r w:rsidRPr="001E2C81">
        <w:rPr>
          <w:rFonts w:ascii="Arial" w:eastAsia="Times New Roman" w:hAnsi="Arial" w:cs="Arial"/>
          <w:i/>
          <w:iCs/>
          <w:color w:val="000000"/>
          <w:sz w:val="27"/>
          <w:szCs w:val="27"/>
          <w:lang w:val="es-UY" w:eastAsia="es-UY"/>
        </w:rPr>
        <w:t>fuerzas</w:t>
      </w:r>
      <w:r w:rsidRPr="001E2C81">
        <w:rPr>
          <w:rFonts w:ascii="Arial" w:eastAsia="Times New Roman" w:hAnsi="Arial" w:cs="Arial"/>
          <w:color w:val="000000"/>
          <w:sz w:val="27"/>
          <w:szCs w:val="27"/>
          <w:lang w:val="es-UY" w:eastAsia="es-UY"/>
        </w:rPr>
        <w:t>” – “</w:t>
      </w:r>
      <w:r w:rsidRPr="001E2C81">
        <w:rPr>
          <w:rFonts w:ascii="Arial" w:eastAsia="Times New Roman" w:hAnsi="Arial" w:cs="Arial"/>
          <w:i/>
          <w:iCs/>
          <w:color w:val="000000"/>
          <w:sz w:val="27"/>
          <w:szCs w:val="27"/>
          <w:lang w:val="es-UY" w:eastAsia="es-UY"/>
        </w:rPr>
        <w:t>vergüenza</w:t>
      </w:r>
      <w:r w:rsidRPr="001E2C81">
        <w:rPr>
          <w:rFonts w:ascii="Arial" w:eastAsia="Times New Roman" w:hAnsi="Arial" w:cs="Arial"/>
          <w:color w:val="000000"/>
          <w:sz w:val="27"/>
          <w:szCs w:val="27"/>
          <w:lang w:val="es-UY" w:eastAsia="es-UY"/>
        </w:rPr>
        <w:t>” son un cierto juego de palabras en griego (</w:t>
      </w:r>
      <w:proofErr w:type="spellStart"/>
      <w:r w:rsidRPr="001E2C81">
        <w:rPr>
          <w:rFonts w:ascii="Arial" w:eastAsia="Times New Roman" w:hAnsi="Arial" w:cs="Arial"/>
          <w:i/>
          <w:iCs/>
          <w:color w:val="000000"/>
          <w:sz w:val="27"/>
          <w:szCs w:val="27"/>
          <w:lang w:val="es-UY" w:eastAsia="es-UY"/>
        </w:rPr>
        <w:t>isjyô</w:t>
      </w:r>
      <w:proofErr w:type="spellEnd"/>
      <w:r w:rsidRPr="001E2C81">
        <w:rPr>
          <w:rFonts w:ascii="Arial" w:eastAsia="Times New Roman" w:hAnsi="Arial" w:cs="Arial"/>
          <w:color w:val="000000"/>
          <w:sz w:val="27"/>
          <w:szCs w:val="27"/>
          <w:lang w:val="es-UY" w:eastAsia="es-UY"/>
        </w:rPr>
        <w:t> – </w:t>
      </w:r>
      <w:proofErr w:type="spellStart"/>
      <w:r w:rsidRPr="001E2C81">
        <w:rPr>
          <w:rFonts w:ascii="Arial" w:eastAsia="Times New Roman" w:hAnsi="Arial" w:cs="Arial"/>
          <w:i/>
          <w:iCs/>
          <w:color w:val="000000"/>
          <w:sz w:val="27"/>
          <w:szCs w:val="27"/>
          <w:lang w:val="es-UY" w:eastAsia="es-UY"/>
        </w:rPr>
        <w:t>aisjynomai</w:t>
      </w:r>
      <w:proofErr w:type="spellEnd"/>
      <w:r w:rsidRPr="001E2C81">
        <w:rPr>
          <w:rFonts w:ascii="Arial" w:eastAsia="Times New Roman" w:hAnsi="Arial" w:cs="Arial"/>
          <w:color w:val="000000"/>
          <w:sz w:val="27"/>
          <w:szCs w:val="27"/>
          <w:lang w:val="es-UY" w:eastAsia="es-UY"/>
        </w:rPr>
        <w:t>). La vergüenza es un tema importante en la cultura mediterránea que tanta importancia da al honor, es lo contrario (cf. 14,9-10). Los mendigos son lo más bajo en la escala social, más aún que los esclavos.</w:t>
      </w:r>
    </w:p>
    <w:p w14:paraId="457E0379"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Times New Roman" w:eastAsia="Times New Roman" w:hAnsi="Times New Roman" w:cs="Times New Roman"/>
          <w:color w:val="000000"/>
          <w:sz w:val="27"/>
          <w:szCs w:val="27"/>
          <w:lang w:val="es-UY" w:eastAsia="es-UY"/>
        </w:rPr>
        <w:t> </w:t>
      </w:r>
    </w:p>
    <w:p w14:paraId="0E58029D"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lang w:val="es-UY" w:eastAsia="es-UY"/>
        </w:rPr>
        <w:t>v. 6, “</w:t>
      </w:r>
      <w:r w:rsidRPr="001E2C81">
        <w:rPr>
          <w:rFonts w:ascii="Arial" w:eastAsia="Times New Roman" w:hAnsi="Arial" w:cs="Arial"/>
          <w:i/>
          <w:iCs/>
          <w:color w:val="000000"/>
          <w:sz w:val="27"/>
          <w:szCs w:val="27"/>
          <w:lang w:val="es-UY" w:eastAsia="es-UY"/>
        </w:rPr>
        <w:t>rápido</w:t>
      </w:r>
      <w:r w:rsidRPr="001E2C81">
        <w:rPr>
          <w:rFonts w:ascii="Arial" w:eastAsia="Times New Roman" w:hAnsi="Arial" w:cs="Arial"/>
          <w:color w:val="000000"/>
          <w:sz w:val="27"/>
          <w:szCs w:val="27"/>
          <w:lang w:val="es-UY" w:eastAsia="es-UY"/>
        </w:rPr>
        <w:t>” es indicio de que todo debe finalizar antes que la noticia se sepa en el pueblo.</w:t>
      </w:r>
    </w:p>
    <w:p w14:paraId="616909B7"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Times New Roman" w:eastAsia="Times New Roman" w:hAnsi="Times New Roman" w:cs="Times New Roman"/>
          <w:color w:val="000000"/>
          <w:sz w:val="27"/>
          <w:szCs w:val="27"/>
          <w:lang w:val="es-UY" w:eastAsia="es-UY"/>
        </w:rPr>
        <w:t> </w:t>
      </w:r>
    </w:p>
    <w:p w14:paraId="15A692AA"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lang w:val="es-UY" w:eastAsia="es-UY"/>
        </w:rPr>
        <w:t>Dos elementos, sin embargo se prestan al debate. Los números de la deuda son muy elevados (unos 450 litros de aceite, el fruto de cerca de 140 olivos; la medida de trigo –en cambio- no es fácil de calcular, pero parece ser diez veces mayor, y el producto de 42 hectáreas de campo. Muchos autores piensan que lo que hace el administrador en los “contratos” (vv.5-7) es renunciar a su comisión, con lo cual no estaría obrando mal en este caso. Sin embargo, la insistencia en la injusticia y el apuro, parecen invitar a mantener la lectura en la que el administrador vuelve a estafar a su señor.</w:t>
      </w:r>
    </w:p>
    <w:p w14:paraId="32554DCA"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Times New Roman" w:eastAsia="Times New Roman" w:hAnsi="Times New Roman" w:cs="Times New Roman"/>
          <w:color w:val="000000"/>
          <w:sz w:val="27"/>
          <w:szCs w:val="27"/>
          <w:lang w:val="es-UY" w:eastAsia="es-UY"/>
        </w:rPr>
        <w:t> </w:t>
      </w:r>
    </w:p>
    <w:p w14:paraId="0D96038C"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lang w:val="es-UY" w:eastAsia="es-UY"/>
        </w:rPr>
        <w:t>Otro tema en debate es quién es el “</w:t>
      </w:r>
      <w:r w:rsidRPr="001E2C81">
        <w:rPr>
          <w:rFonts w:ascii="Arial" w:eastAsia="Times New Roman" w:hAnsi="Arial" w:cs="Arial"/>
          <w:i/>
          <w:iCs/>
          <w:color w:val="000000"/>
          <w:sz w:val="27"/>
          <w:szCs w:val="27"/>
          <w:lang w:val="es-UY" w:eastAsia="es-UY"/>
        </w:rPr>
        <w:t>señor</w:t>
      </w:r>
      <w:r w:rsidRPr="001E2C81">
        <w:rPr>
          <w:rFonts w:ascii="Arial" w:eastAsia="Times New Roman" w:hAnsi="Arial" w:cs="Arial"/>
          <w:color w:val="000000"/>
          <w:sz w:val="27"/>
          <w:szCs w:val="27"/>
          <w:lang w:val="es-UY" w:eastAsia="es-UY"/>
        </w:rPr>
        <w:t>” que “</w:t>
      </w:r>
      <w:r w:rsidRPr="001E2C81">
        <w:rPr>
          <w:rFonts w:ascii="Arial" w:eastAsia="Times New Roman" w:hAnsi="Arial" w:cs="Arial"/>
          <w:i/>
          <w:iCs/>
          <w:color w:val="000000"/>
          <w:sz w:val="27"/>
          <w:szCs w:val="27"/>
          <w:lang w:val="es-UY" w:eastAsia="es-UY"/>
        </w:rPr>
        <w:t>alaba</w:t>
      </w:r>
      <w:r w:rsidRPr="001E2C81">
        <w:rPr>
          <w:rFonts w:ascii="Arial" w:eastAsia="Times New Roman" w:hAnsi="Arial" w:cs="Arial"/>
          <w:color w:val="000000"/>
          <w:sz w:val="27"/>
          <w:szCs w:val="27"/>
          <w:lang w:val="es-UY" w:eastAsia="es-UY"/>
        </w:rPr>
        <w:t>” al ecónomo: el patrón del administrador (vv.3.5) o Jesús (cf. 5,8.12; 6,46; 7,6.13.19; 9,54.59.61; 10,1.17.39.40.41; 11,1.39; 18,6…). En ambos casos, es chocante la alabanza, pero si bien no tiene sentido que el patrón estafado alabe al estafador por reiterar el hecho, en el caso de Jesús tiene sentido si sacamos el tema del “terreno moral”. Jesús no alaba la estafa sino la astucia y –precisamente por el </w:t>
      </w:r>
      <w:proofErr w:type="spellStart"/>
      <w:r w:rsidRPr="001E2C81">
        <w:rPr>
          <w:rFonts w:ascii="Arial" w:eastAsia="Times New Roman" w:hAnsi="Arial" w:cs="Arial"/>
          <w:i/>
          <w:iCs/>
          <w:color w:val="000000"/>
          <w:sz w:val="27"/>
          <w:szCs w:val="27"/>
          <w:lang w:val="es-UY" w:eastAsia="es-UY"/>
        </w:rPr>
        <w:t>kal</w:t>
      </w:r>
      <w:proofErr w:type="spellEnd"/>
      <w:r w:rsidRPr="001E2C81">
        <w:rPr>
          <w:rFonts w:ascii="Arial" w:eastAsia="Times New Roman" w:hAnsi="Arial" w:cs="Arial"/>
          <w:i/>
          <w:iCs/>
          <w:color w:val="000000"/>
          <w:sz w:val="27"/>
          <w:szCs w:val="27"/>
          <w:lang w:val="es-UY" w:eastAsia="es-UY"/>
        </w:rPr>
        <w:t xml:space="preserve"> </w:t>
      </w:r>
      <w:proofErr w:type="spellStart"/>
      <w:r w:rsidRPr="001E2C81">
        <w:rPr>
          <w:rFonts w:ascii="Arial" w:eastAsia="Times New Roman" w:hAnsi="Arial" w:cs="Arial"/>
          <w:i/>
          <w:iCs/>
          <w:color w:val="000000"/>
          <w:sz w:val="27"/>
          <w:szCs w:val="27"/>
          <w:lang w:val="es-UY" w:eastAsia="es-UY"/>
        </w:rPr>
        <w:t>w</w:t>
      </w:r>
      <w:r w:rsidRPr="001E2C81">
        <w:rPr>
          <w:rFonts w:ascii="Arial" w:eastAsia="Times New Roman" w:hAnsi="Arial" w:cs="Arial"/>
          <w:i/>
          <w:iCs/>
          <w:color w:val="000000"/>
          <w:sz w:val="27"/>
          <w:szCs w:val="27"/>
          <w:vertAlign w:val="superscript"/>
          <w:lang w:val="es-UY" w:eastAsia="es-UY"/>
        </w:rPr>
        <w:t>a</w:t>
      </w:r>
      <w:r w:rsidRPr="001E2C81">
        <w:rPr>
          <w:rFonts w:ascii="Arial" w:eastAsia="Times New Roman" w:hAnsi="Arial" w:cs="Arial"/>
          <w:i/>
          <w:iCs/>
          <w:color w:val="000000"/>
          <w:sz w:val="27"/>
          <w:szCs w:val="27"/>
          <w:lang w:val="es-UY" w:eastAsia="es-UY"/>
        </w:rPr>
        <w:t>homer</w:t>
      </w:r>
      <w:proofErr w:type="spellEnd"/>
      <w:r w:rsidRPr="001E2C81">
        <w:rPr>
          <w:rFonts w:ascii="Arial" w:eastAsia="Times New Roman" w:hAnsi="Arial" w:cs="Arial"/>
          <w:color w:val="000000"/>
          <w:sz w:val="27"/>
          <w:szCs w:val="27"/>
          <w:lang w:val="es-UY" w:eastAsia="es-UY"/>
        </w:rPr>
        <w:t xml:space="preserve">- la comparación entre los hijos de este mundo y los hijos de la luz, la alabanza destaca que si </w:t>
      </w:r>
      <w:proofErr w:type="gramStart"/>
      <w:r w:rsidRPr="001E2C81">
        <w:rPr>
          <w:rFonts w:ascii="Arial" w:eastAsia="Times New Roman" w:hAnsi="Arial" w:cs="Arial"/>
          <w:color w:val="000000"/>
          <w:sz w:val="27"/>
          <w:szCs w:val="27"/>
          <w:lang w:val="es-UY" w:eastAsia="es-UY"/>
        </w:rPr>
        <w:t>tanta astucia ponen</w:t>
      </w:r>
      <w:proofErr w:type="gramEnd"/>
      <w:r w:rsidRPr="001E2C81">
        <w:rPr>
          <w:rFonts w:ascii="Arial" w:eastAsia="Times New Roman" w:hAnsi="Arial" w:cs="Arial"/>
          <w:color w:val="000000"/>
          <w:sz w:val="27"/>
          <w:szCs w:val="27"/>
          <w:lang w:val="es-UY" w:eastAsia="es-UY"/>
        </w:rPr>
        <w:t xml:space="preserve"> “</w:t>
      </w:r>
      <w:r w:rsidRPr="001E2C81">
        <w:rPr>
          <w:rFonts w:ascii="Arial" w:eastAsia="Times New Roman" w:hAnsi="Arial" w:cs="Arial"/>
          <w:i/>
          <w:iCs/>
          <w:color w:val="000000"/>
          <w:sz w:val="27"/>
          <w:szCs w:val="27"/>
          <w:lang w:val="es-UY" w:eastAsia="es-UY"/>
        </w:rPr>
        <w:t>los hijos de este mundo</w:t>
      </w:r>
      <w:r w:rsidRPr="001E2C81">
        <w:rPr>
          <w:rFonts w:ascii="Arial" w:eastAsia="Times New Roman" w:hAnsi="Arial" w:cs="Arial"/>
          <w:color w:val="000000"/>
          <w:sz w:val="27"/>
          <w:szCs w:val="27"/>
          <w:lang w:val="es-UY" w:eastAsia="es-UY"/>
        </w:rPr>
        <w:t>”, como el ecónomo, para ser recibidos, cuánta más deben poner los “</w:t>
      </w:r>
      <w:r w:rsidRPr="001E2C81">
        <w:rPr>
          <w:rFonts w:ascii="Arial" w:eastAsia="Times New Roman" w:hAnsi="Arial" w:cs="Arial"/>
          <w:i/>
          <w:iCs/>
          <w:color w:val="000000"/>
          <w:sz w:val="27"/>
          <w:szCs w:val="27"/>
          <w:lang w:val="es-UY" w:eastAsia="es-UY"/>
        </w:rPr>
        <w:t>hijos de la luz</w:t>
      </w:r>
      <w:r w:rsidRPr="001E2C81">
        <w:rPr>
          <w:rFonts w:ascii="Arial" w:eastAsia="Times New Roman" w:hAnsi="Arial" w:cs="Arial"/>
          <w:color w:val="000000"/>
          <w:sz w:val="27"/>
          <w:szCs w:val="27"/>
          <w:lang w:val="es-UY" w:eastAsia="es-UY"/>
        </w:rPr>
        <w:t>” como sus discípulos. Y la astucia es precisamente “</w:t>
      </w:r>
      <w:r w:rsidRPr="001E2C81">
        <w:rPr>
          <w:rFonts w:ascii="Arial" w:eastAsia="Times New Roman" w:hAnsi="Arial" w:cs="Arial"/>
          <w:i/>
          <w:iCs/>
          <w:color w:val="000000"/>
          <w:sz w:val="27"/>
          <w:szCs w:val="27"/>
          <w:lang w:val="es-UY" w:eastAsia="es-UY"/>
        </w:rPr>
        <w:t>hacerse amigos</w:t>
      </w:r>
      <w:r w:rsidRPr="001E2C81">
        <w:rPr>
          <w:rFonts w:ascii="Arial" w:eastAsia="Times New Roman" w:hAnsi="Arial" w:cs="Arial"/>
          <w:color w:val="000000"/>
          <w:sz w:val="27"/>
          <w:szCs w:val="27"/>
          <w:lang w:val="es-UY" w:eastAsia="es-UY"/>
        </w:rPr>
        <w:t>” con el dinero injusto. De los pobres es el reino, y son ellos precisamente los que nos recibirán o no en las “</w:t>
      </w:r>
      <w:r w:rsidRPr="001E2C81">
        <w:rPr>
          <w:rFonts w:ascii="Arial" w:eastAsia="Times New Roman" w:hAnsi="Arial" w:cs="Arial"/>
          <w:i/>
          <w:iCs/>
          <w:color w:val="000000"/>
          <w:sz w:val="27"/>
          <w:szCs w:val="27"/>
          <w:lang w:val="es-UY" w:eastAsia="es-UY"/>
        </w:rPr>
        <w:t>moradas eternas</w:t>
      </w:r>
      <w:r w:rsidRPr="001E2C81">
        <w:rPr>
          <w:rFonts w:ascii="Arial" w:eastAsia="Times New Roman" w:hAnsi="Arial" w:cs="Arial"/>
          <w:color w:val="000000"/>
          <w:sz w:val="27"/>
          <w:szCs w:val="27"/>
          <w:lang w:val="es-UY" w:eastAsia="es-UY"/>
        </w:rPr>
        <w:t>”.</w:t>
      </w:r>
    </w:p>
    <w:p w14:paraId="4F12B812"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Times New Roman" w:eastAsia="Times New Roman" w:hAnsi="Times New Roman" w:cs="Times New Roman"/>
          <w:color w:val="000000"/>
          <w:sz w:val="27"/>
          <w:szCs w:val="27"/>
          <w:lang w:val="es-UY" w:eastAsia="es-UY"/>
        </w:rPr>
        <w:t> </w:t>
      </w:r>
    </w:p>
    <w:p w14:paraId="1C2C7CCF"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lang w:val="es-UY" w:eastAsia="es-UY"/>
        </w:rPr>
        <w:t>El contraste es evidente: uno, estafando, consigue quienes lo acojan en sus casas; otros –los oyentes de Jesús- están invitados a compartir su propio dinero para que los pobres los acojan en las “</w:t>
      </w:r>
      <w:r w:rsidRPr="001E2C81">
        <w:rPr>
          <w:rFonts w:ascii="Arial" w:eastAsia="Times New Roman" w:hAnsi="Arial" w:cs="Arial"/>
          <w:i/>
          <w:iCs/>
          <w:color w:val="000000"/>
          <w:sz w:val="27"/>
          <w:szCs w:val="27"/>
          <w:lang w:val="es-UY" w:eastAsia="es-UY"/>
        </w:rPr>
        <w:t>moradas eternas</w:t>
      </w:r>
      <w:r w:rsidRPr="001E2C81">
        <w:rPr>
          <w:rFonts w:ascii="Arial" w:eastAsia="Times New Roman" w:hAnsi="Arial" w:cs="Arial"/>
          <w:color w:val="000000"/>
          <w:sz w:val="27"/>
          <w:szCs w:val="27"/>
          <w:lang w:val="es-UY" w:eastAsia="es-UY"/>
        </w:rPr>
        <w:t>” (v.9). Ese contraste viene especificado entre lo pequeño y lo mucho (v.10) lo que manifiesta explícitamente que se trata de un </w:t>
      </w:r>
      <w:proofErr w:type="spellStart"/>
      <w:r w:rsidRPr="001E2C81">
        <w:rPr>
          <w:rFonts w:ascii="Arial" w:eastAsia="Times New Roman" w:hAnsi="Arial" w:cs="Arial"/>
          <w:i/>
          <w:iCs/>
          <w:color w:val="000000"/>
          <w:sz w:val="27"/>
          <w:szCs w:val="27"/>
          <w:lang w:val="es-UY" w:eastAsia="es-UY"/>
        </w:rPr>
        <w:t>kal</w:t>
      </w:r>
      <w:proofErr w:type="spellEnd"/>
      <w:r w:rsidRPr="001E2C81">
        <w:rPr>
          <w:rFonts w:ascii="Arial" w:eastAsia="Times New Roman" w:hAnsi="Arial" w:cs="Arial"/>
          <w:i/>
          <w:iCs/>
          <w:color w:val="000000"/>
          <w:sz w:val="27"/>
          <w:szCs w:val="27"/>
          <w:lang w:val="es-UY" w:eastAsia="es-UY"/>
        </w:rPr>
        <w:t xml:space="preserve"> </w:t>
      </w:r>
      <w:proofErr w:type="spellStart"/>
      <w:r w:rsidRPr="001E2C81">
        <w:rPr>
          <w:rFonts w:ascii="Arial" w:eastAsia="Times New Roman" w:hAnsi="Arial" w:cs="Arial"/>
          <w:i/>
          <w:iCs/>
          <w:color w:val="000000"/>
          <w:sz w:val="27"/>
          <w:szCs w:val="27"/>
          <w:lang w:val="es-UY" w:eastAsia="es-UY"/>
        </w:rPr>
        <w:t>w</w:t>
      </w:r>
      <w:r w:rsidRPr="001E2C81">
        <w:rPr>
          <w:rFonts w:ascii="Arial" w:eastAsia="Times New Roman" w:hAnsi="Arial" w:cs="Arial"/>
          <w:i/>
          <w:iCs/>
          <w:color w:val="000000"/>
          <w:sz w:val="27"/>
          <w:szCs w:val="27"/>
          <w:vertAlign w:val="superscript"/>
          <w:lang w:val="es-UY" w:eastAsia="es-UY"/>
        </w:rPr>
        <w:t>a</w:t>
      </w:r>
      <w:r w:rsidRPr="001E2C81">
        <w:rPr>
          <w:rFonts w:ascii="Arial" w:eastAsia="Times New Roman" w:hAnsi="Arial" w:cs="Arial"/>
          <w:i/>
          <w:iCs/>
          <w:color w:val="000000"/>
          <w:sz w:val="27"/>
          <w:szCs w:val="27"/>
          <w:lang w:val="es-UY" w:eastAsia="es-UY"/>
        </w:rPr>
        <w:t>homer</w:t>
      </w:r>
      <w:proofErr w:type="spellEnd"/>
      <w:r w:rsidRPr="001E2C81">
        <w:rPr>
          <w:rFonts w:ascii="Arial" w:eastAsia="Times New Roman" w:hAnsi="Arial" w:cs="Arial"/>
          <w:color w:val="000000"/>
          <w:sz w:val="27"/>
          <w:szCs w:val="27"/>
          <w:lang w:val="es-UY" w:eastAsia="es-UY"/>
        </w:rPr>
        <w:t xml:space="preserve">, como hemos dicho planteado en clave (in)fidelidad (vv.10-12). El dicho Q (v.13) concluye el texto; en v.14 encontramos –aunque dentro de la misma temática del dinero- unos nuevos personajes que </w:t>
      </w:r>
      <w:proofErr w:type="gramStart"/>
      <w:r w:rsidRPr="001E2C81">
        <w:rPr>
          <w:rFonts w:ascii="Arial" w:eastAsia="Times New Roman" w:hAnsi="Arial" w:cs="Arial"/>
          <w:color w:val="000000"/>
          <w:sz w:val="27"/>
          <w:szCs w:val="27"/>
          <w:lang w:val="es-UY" w:eastAsia="es-UY"/>
        </w:rPr>
        <w:t>dan inicio a</w:t>
      </w:r>
      <w:proofErr w:type="gramEnd"/>
      <w:r w:rsidRPr="001E2C81">
        <w:rPr>
          <w:rFonts w:ascii="Arial" w:eastAsia="Times New Roman" w:hAnsi="Arial" w:cs="Arial"/>
          <w:color w:val="000000"/>
          <w:sz w:val="27"/>
          <w:szCs w:val="27"/>
          <w:lang w:val="es-UY" w:eastAsia="es-UY"/>
        </w:rPr>
        <w:t xml:space="preserve"> una nueva unidad. Es sabido que –a diferencia de las comunidades que se pueden vislumbrar en los otros evangelios- en la comunidad de Lucas parece haber algunos de buen pasar económico. A ellos Lucas les insiste con frecuencia en la importancia de compartir los bienes, de dar limosna, de “hacerse amigos”; si –por el contrario- el dinero se transformara en un ídolo, no tienen cabida en el proyecto fraternal y sororal de Jesús.</w:t>
      </w:r>
    </w:p>
    <w:p w14:paraId="71BCC4BF"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Times New Roman" w:eastAsia="Times New Roman" w:hAnsi="Times New Roman" w:cs="Times New Roman"/>
          <w:color w:val="000000"/>
          <w:sz w:val="27"/>
          <w:szCs w:val="27"/>
          <w:lang w:val="es-UY" w:eastAsia="es-UY"/>
        </w:rPr>
        <w:t> </w:t>
      </w:r>
    </w:p>
    <w:p w14:paraId="71D4D263"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lang w:val="es-UY" w:eastAsia="es-UY"/>
        </w:rPr>
        <w:t xml:space="preserve">El texto Q es interesante: es exacto en Mt y </w:t>
      </w:r>
      <w:proofErr w:type="spellStart"/>
      <w:r w:rsidRPr="001E2C81">
        <w:rPr>
          <w:rFonts w:ascii="Arial" w:eastAsia="Times New Roman" w:hAnsi="Arial" w:cs="Arial"/>
          <w:color w:val="000000"/>
          <w:sz w:val="27"/>
          <w:szCs w:val="27"/>
          <w:lang w:val="es-UY" w:eastAsia="es-UY"/>
        </w:rPr>
        <w:t>Lc</w:t>
      </w:r>
      <w:proofErr w:type="spellEnd"/>
      <w:r w:rsidRPr="001E2C81">
        <w:rPr>
          <w:rFonts w:ascii="Arial" w:eastAsia="Times New Roman" w:hAnsi="Arial" w:cs="Arial"/>
          <w:color w:val="000000"/>
          <w:sz w:val="27"/>
          <w:szCs w:val="27"/>
          <w:lang w:val="es-UY" w:eastAsia="es-UY"/>
        </w:rPr>
        <w:t xml:space="preserve"> palabra por palabra, sólo que Lucas añade –por el contexto- que ningún “doméstico” (</w:t>
      </w:r>
      <w:proofErr w:type="spellStart"/>
      <w:r w:rsidRPr="001E2C81">
        <w:rPr>
          <w:rFonts w:ascii="Arial" w:eastAsia="Times New Roman" w:hAnsi="Arial" w:cs="Arial"/>
          <w:i/>
          <w:iCs/>
          <w:color w:val="000000"/>
          <w:sz w:val="27"/>
          <w:szCs w:val="27"/>
          <w:lang w:val="es-UY" w:eastAsia="es-UY"/>
        </w:rPr>
        <w:t>oikétês</w:t>
      </w:r>
      <w:proofErr w:type="spellEnd"/>
      <w:r w:rsidRPr="001E2C81">
        <w:rPr>
          <w:rFonts w:ascii="Arial" w:eastAsia="Times New Roman" w:hAnsi="Arial" w:cs="Arial"/>
          <w:color w:val="000000"/>
          <w:sz w:val="27"/>
          <w:szCs w:val="27"/>
          <w:lang w:val="es-UY" w:eastAsia="es-UY"/>
        </w:rPr>
        <w:t>), es decir, el empleado de la casa sirve a los dos señores. Como en un evangelio pasado (14,25), el verbo “</w:t>
      </w:r>
      <w:r w:rsidRPr="001E2C81">
        <w:rPr>
          <w:rFonts w:ascii="Arial" w:eastAsia="Times New Roman" w:hAnsi="Arial" w:cs="Arial"/>
          <w:i/>
          <w:iCs/>
          <w:color w:val="000000"/>
          <w:sz w:val="27"/>
          <w:szCs w:val="27"/>
          <w:lang w:val="es-UY" w:eastAsia="es-UY"/>
        </w:rPr>
        <w:t>odiar</w:t>
      </w:r>
      <w:r w:rsidRPr="001E2C81">
        <w:rPr>
          <w:rFonts w:ascii="Arial" w:eastAsia="Times New Roman" w:hAnsi="Arial" w:cs="Arial"/>
          <w:color w:val="000000"/>
          <w:sz w:val="27"/>
          <w:szCs w:val="27"/>
          <w:lang w:val="es-UY" w:eastAsia="es-UY"/>
        </w:rPr>
        <w:t>” debe entenderse en el sentido de ‘</w:t>
      </w:r>
      <w:r w:rsidRPr="001E2C81">
        <w:rPr>
          <w:rFonts w:ascii="Arial" w:eastAsia="Times New Roman" w:hAnsi="Arial" w:cs="Arial"/>
          <w:i/>
          <w:iCs/>
          <w:color w:val="000000"/>
          <w:sz w:val="27"/>
          <w:szCs w:val="27"/>
          <w:lang w:val="es-UY" w:eastAsia="es-UY"/>
        </w:rPr>
        <w:t>amar menos</w:t>
      </w:r>
      <w:r w:rsidRPr="001E2C81">
        <w:rPr>
          <w:rFonts w:ascii="Arial" w:eastAsia="Times New Roman" w:hAnsi="Arial" w:cs="Arial"/>
          <w:color w:val="000000"/>
          <w:sz w:val="27"/>
          <w:szCs w:val="27"/>
          <w:lang w:val="es-UY" w:eastAsia="es-UY"/>
        </w:rPr>
        <w:t xml:space="preserve">’, expresado en un paralelismo antitético de modo </w:t>
      </w:r>
      <w:proofErr w:type="spellStart"/>
      <w:r w:rsidRPr="001E2C81">
        <w:rPr>
          <w:rFonts w:ascii="Arial" w:eastAsia="Times New Roman" w:hAnsi="Arial" w:cs="Arial"/>
          <w:color w:val="000000"/>
          <w:sz w:val="27"/>
          <w:szCs w:val="27"/>
          <w:lang w:val="es-UY" w:eastAsia="es-UY"/>
        </w:rPr>
        <w:t>quiástico</w:t>
      </w:r>
      <w:proofErr w:type="spellEnd"/>
      <w:r w:rsidRPr="001E2C81">
        <w:rPr>
          <w:rFonts w:ascii="Arial" w:eastAsia="Times New Roman" w:hAnsi="Arial" w:cs="Arial"/>
          <w:color w:val="000000"/>
          <w:sz w:val="27"/>
          <w:szCs w:val="27"/>
          <w:lang w:val="es-UY" w:eastAsia="es-UY"/>
        </w:rPr>
        <w:t>:</w:t>
      </w:r>
    </w:p>
    <w:p w14:paraId="0C981BAD"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Times New Roman" w:eastAsia="Times New Roman" w:hAnsi="Times New Roman" w:cs="Times New Roman"/>
          <w:color w:val="000000"/>
          <w:sz w:val="27"/>
          <w:szCs w:val="27"/>
          <w:lang w:val="es-UY" w:eastAsia="es-UY"/>
        </w:rPr>
        <w:t> </w:t>
      </w:r>
    </w:p>
    <w:p w14:paraId="426A6B21"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lang w:val="es-UY" w:eastAsia="es-UY"/>
        </w:rPr>
        <w:t>A.            A uno odiará</w:t>
      </w:r>
    </w:p>
    <w:p w14:paraId="079C9C12" w14:textId="77777777" w:rsidR="001E2C81" w:rsidRPr="001E2C81" w:rsidRDefault="001E2C81" w:rsidP="001E2C81">
      <w:pPr>
        <w:shd w:val="clear" w:color="auto" w:fill="FFFFFF"/>
        <w:spacing w:after="0" w:line="240" w:lineRule="auto"/>
        <w:ind w:left="708" w:firstLine="708"/>
        <w:jc w:val="both"/>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lang w:val="es-UY" w:eastAsia="es-UY"/>
        </w:rPr>
        <w:t>B. A otro amará</w:t>
      </w:r>
    </w:p>
    <w:p w14:paraId="1E1C122B"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lang w:val="es-UY" w:eastAsia="es-UY"/>
        </w:rPr>
        <w:t>                  B’. A uno se entregará</w:t>
      </w:r>
    </w:p>
    <w:p w14:paraId="35F1B4DE" w14:textId="77777777" w:rsidR="001E2C81" w:rsidRPr="001E2C81" w:rsidRDefault="001E2C81" w:rsidP="001E2C81">
      <w:pPr>
        <w:shd w:val="clear" w:color="auto" w:fill="FFFFFF"/>
        <w:spacing w:after="0" w:line="240" w:lineRule="auto"/>
        <w:ind w:firstLine="708"/>
        <w:jc w:val="both"/>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lang w:val="es-UY" w:eastAsia="es-UY"/>
        </w:rPr>
        <w:t>A’. A otro depreciará</w:t>
      </w:r>
    </w:p>
    <w:p w14:paraId="14B479CC"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Times New Roman" w:eastAsia="Times New Roman" w:hAnsi="Times New Roman" w:cs="Times New Roman"/>
          <w:color w:val="000000"/>
          <w:sz w:val="27"/>
          <w:szCs w:val="27"/>
          <w:lang w:val="es-UY" w:eastAsia="es-UY"/>
        </w:rPr>
        <w:t> </w:t>
      </w:r>
    </w:p>
    <w:p w14:paraId="6AB15615"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lang w:val="es-UY" w:eastAsia="es-UY"/>
        </w:rPr>
        <w:t>Estos dos señores (</w:t>
      </w:r>
      <w:proofErr w:type="spellStart"/>
      <w:r w:rsidRPr="001E2C81">
        <w:rPr>
          <w:rFonts w:ascii="Arial" w:eastAsia="Times New Roman" w:hAnsi="Arial" w:cs="Arial"/>
          <w:i/>
          <w:iCs/>
          <w:color w:val="000000"/>
          <w:sz w:val="27"/>
          <w:szCs w:val="27"/>
          <w:lang w:val="es-UY" w:eastAsia="es-UY"/>
        </w:rPr>
        <w:t>kyriois</w:t>
      </w:r>
      <w:proofErr w:type="spellEnd"/>
      <w:r w:rsidRPr="001E2C81">
        <w:rPr>
          <w:rFonts w:ascii="Arial" w:eastAsia="Times New Roman" w:hAnsi="Arial" w:cs="Arial"/>
          <w:color w:val="000000"/>
          <w:sz w:val="27"/>
          <w:szCs w:val="27"/>
          <w:lang w:val="es-UY" w:eastAsia="es-UY"/>
        </w:rPr>
        <w:t>) que tienen esclavo (</w:t>
      </w:r>
      <w:proofErr w:type="spellStart"/>
      <w:r w:rsidRPr="001E2C81">
        <w:rPr>
          <w:rFonts w:ascii="Arial" w:eastAsia="Times New Roman" w:hAnsi="Arial" w:cs="Arial"/>
          <w:i/>
          <w:iCs/>
          <w:color w:val="000000"/>
          <w:sz w:val="27"/>
          <w:szCs w:val="27"/>
          <w:lang w:val="es-UY" w:eastAsia="es-UY"/>
        </w:rPr>
        <w:t>douleuein</w:t>
      </w:r>
      <w:proofErr w:type="spellEnd"/>
      <w:r w:rsidRPr="001E2C81">
        <w:rPr>
          <w:rFonts w:ascii="Arial" w:eastAsia="Times New Roman" w:hAnsi="Arial" w:cs="Arial"/>
          <w:color w:val="000000"/>
          <w:sz w:val="27"/>
          <w:szCs w:val="27"/>
          <w:lang w:val="es-UY" w:eastAsia="es-UY"/>
        </w:rPr>
        <w:t>) se presentan tan antagónicos como el amor y el odio: Dios y “</w:t>
      </w:r>
      <w:proofErr w:type="spellStart"/>
      <w:r w:rsidRPr="001E2C81">
        <w:rPr>
          <w:rFonts w:ascii="Arial" w:eastAsia="Times New Roman" w:hAnsi="Arial" w:cs="Arial"/>
          <w:i/>
          <w:iCs/>
          <w:color w:val="000000"/>
          <w:sz w:val="27"/>
          <w:szCs w:val="27"/>
          <w:lang w:val="es-UY" w:eastAsia="es-UY"/>
        </w:rPr>
        <w:t>mamôna</w:t>
      </w:r>
      <w:proofErr w:type="spellEnd"/>
      <w:r w:rsidRPr="001E2C81">
        <w:rPr>
          <w:rFonts w:ascii="Arial" w:eastAsia="Times New Roman" w:hAnsi="Arial" w:cs="Arial"/>
          <w:color w:val="000000"/>
          <w:sz w:val="27"/>
          <w:szCs w:val="27"/>
          <w:lang w:val="es-UY" w:eastAsia="es-UY"/>
        </w:rPr>
        <w:t>”, es decir, el “</w:t>
      </w:r>
      <w:r w:rsidRPr="001E2C81">
        <w:rPr>
          <w:rFonts w:ascii="Arial" w:eastAsia="Times New Roman" w:hAnsi="Arial" w:cs="Arial"/>
          <w:i/>
          <w:iCs/>
          <w:color w:val="000000"/>
          <w:sz w:val="27"/>
          <w:szCs w:val="27"/>
          <w:lang w:val="es-UY" w:eastAsia="es-UY"/>
        </w:rPr>
        <w:t>dinero injusto</w:t>
      </w:r>
      <w:r w:rsidRPr="001E2C81">
        <w:rPr>
          <w:rFonts w:ascii="Arial" w:eastAsia="Times New Roman" w:hAnsi="Arial" w:cs="Arial"/>
          <w:color w:val="000000"/>
          <w:sz w:val="27"/>
          <w:szCs w:val="27"/>
          <w:lang w:val="es-UY" w:eastAsia="es-UY"/>
        </w:rPr>
        <w:t>” (16,9.11). En realidad, “</w:t>
      </w:r>
      <w:r w:rsidRPr="001E2C81">
        <w:rPr>
          <w:rFonts w:ascii="Arial" w:eastAsia="Times New Roman" w:hAnsi="Arial" w:cs="Arial"/>
          <w:i/>
          <w:iCs/>
          <w:color w:val="000000"/>
          <w:sz w:val="27"/>
          <w:szCs w:val="27"/>
          <w:lang w:val="es-UY" w:eastAsia="es-UY"/>
        </w:rPr>
        <w:t>mamona</w:t>
      </w:r>
      <w:r w:rsidRPr="001E2C81">
        <w:rPr>
          <w:rFonts w:ascii="Arial" w:eastAsia="Times New Roman" w:hAnsi="Arial" w:cs="Arial"/>
          <w:color w:val="000000"/>
          <w:sz w:val="27"/>
          <w:szCs w:val="27"/>
          <w:lang w:val="es-UY" w:eastAsia="es-UY"/>
        </w:rPr>
        <w:t>” no es propiamente dinero, que se encuentra otras veces en el Nuevo Testamento (</w:t>
      </w:r>
      <w:proofErr w:type="spellStart"/>
      <w:r w:rsidRPr="001E2C81">
        <w:rPr>
          <w:rFonts w:ascii="Arial" w:eastAsia="Times New Roman" w:hAnsi="Arial" w:cs="Arial"/>
          <w:i/>
          <w:iCs/>
          <w:color w:val="000000"/>
          <w:sz w:val="27"/>
          <w:szCs w:val="27"/>
          <w:lang w:val="es-UY" w:eastAsia="es-UY"/>
        </w:rPr>
        <w:t>argiríon</w:t>
      </w:r>
      <w:proofErr w:type="spellEnd"/>
      <w:r w:rsidRPr="001E2C81">
        <w:rPr>
          <w:rFonts w:ascii="Arial" w:eastAsia="Times New Roman" w:hAnsi="Arial" w:cs="Arial"/>
          <w:color w:val="000000"/>
          <w:sz w:val="27"/>
          <w:szCs w:val="27"/>
          <w:lang w:val="es-UY" w:eastAsia="es-UY"/>
        </w:rPr>
        <w:t xml:space="preserve"> [plata], cf. Mt 25,18.27; 28,12.15; Mc 14,11; </w:t>
      </w:r>
      <w:proofErr w:type="spellStart"/>
      <w:r w:rsidRPr="001E2C81">
        <w:rPr>
          <w:rFonts w:ascii="Arial" w:eastAsia="Times New Roman" w:hAnsi="Arial" w:cs="Arial"/>
          <w:color w:val="000000"/>
          <w:sz w:val="27"/>
          <w:szCs w:val="27"/>
          <w:lang w:val="es-UY" w:eastAsia="es-UY"/>
        </w:rPr>
        <w:t>Lc</w:t>
      </w:r>
      <w:proofErr w:type="spellEnd"/>
      <w:r w:rsidRPr="001E2C81">
        <w:rPr>
          <w:rFonts w:ascii="Arial" w:eastAsia="Times New Roman" w:hAnsi="Arial" w:cs="Arial"/>
          <w:color w:val="000000"/>
          <w:sz w:val="27"/>
          <w:szCs w:val="27"/>
          <w:lang w:val="es-UY" w:eastAsia="es-UY"/>
        </w:rPr>
        <w:t xml:space="preserve"> 19,15.23; 22,5: Hch 8,20; </w:t>
      </w:r>
      <w:proofErr w:type="spellStart"/>
      <w:r w:rsidRPr="001E2C81">
        <w:rPr>
          <w:rFonts w:ascii="Arial" w:eastAsia="Times New Roman" w:hAnsi="Arial" w:cs="Arial"/>
          <w:i/>
          <w:iCs/>
          <w:color w:val="000000"/>
          <w:sz w:val="27"/>
          <w:szCs w:val="27"/>
          <w:lang w:val="es-UY" w:eastAsia="es-UY"/>
        </w:rPr>
        <w:t>filárgiros</w:t>
      </w:r>
      <w:proofErr w:type="spellEnd"/>
      <w:r w:rsidRPr="001E2C81">
        <w:rPr>
          <w:rFonts w:ascii="Arial" w:eastAsia="Times New Roman" w:hAnsi="Arial" w:cs="Arial"/>
          <w:color w:val="000000"/>
          <w:sz w:val="27"/>
          <w:szCs w:val="27"/>
          <w:lang w:val="es-UY" w:eastAsia="es-UY"/>
        </w:rPr>
        <w:t xml:space="preserve"> [amigos de la plata], cf. </w:t>
      </w:r>
      <w:proofErr w:type="spellStart"/>
      <w:r w:rsidRPr="001E2C81">
        <w:rPr>
          <w:rFonts w:ascii="Arial" w:eastAsia="Times New Roman" w:hAnsi="Arial" w:cs="Arial"/>
          <w:color w:val="000000"/>
          <w:sz w:val="27"/>
          <w:szCs w:val="27"/>
          <w:lang w:val="es-UY" w:eastAsia="es-UY"/>
        </w:rPr>
        <w:t>Lc</w:t>
      </w:r>
      <w:proofErr w:type="spellEnd"/>
      <w:r w:rsidRPr="001E2C81">
        <w:rPr>
          <w:rFonts w:ascii="Arial" w:eastAsia="Times New Roman" w:hAnsi="Arial" w:cs="Arial"/>
          <w:color w:val="000000"/>
          <w:sz w:val="27"/>
          <w:szCs w:val="27"/>
          <w:lang w:val="es-UY" w:eastAsia="es-UY"/>
        </w:rPr>
        <w:t xml:space="preserve"> 16,14; 1 Tim 6,10 (</w:t>
      </w:r>
      <w:proofErr w:type="spellStart"/>
      <w:r w:rsidRPr="001E2C81">
        <w:rPr>
          <w:rFonts w:ascii="Arial" w:eastAsia="Times New Roman" w:hAnsi="Arial" w:cs="Arial"/>
          <w:color w:val="000000"/>
          <w:sz w:val="27"/>
          <w:szCs w:val="27"/>
          <w:lang w:val="es-UY" w:eastAsia="es-UY"/>
        </w:rPr>
        <w:t>cf</w:t>
      </w:r>
      <w:proofErr w:type="spellEnd"/>
      <w:r w:rsidRPr="001E2C81">
        <w:rPr>
          <w:rFonts w:ascii="Arial" w:eastAsia="Times New Roman" w:hAnsi="Arial" w:cs="Arial"/>
          <w:color w:val="000000"/>
          <w:sz w:val="27"/>
          <w:szCs w:val="27"/>
          <w:lang w:val="es-UY" w:eastAsia="es-UY"/>
        </w:rPr>
        <w:t xml:space="preserve"> 3,3); </w:t>
      </w:r>
      <w:proofErr w:type="spellStart"/>
      <w:r w:rsidRPr="001E2C81">
        <w:rPr>
          <w:rFonts w:ascii="Arial" w:eastAsia="Times New Roman" w:hAnsi="Arial" w:cs="Arial"/>
          <w:i/>
          <w:iCs/>
          <w:color w:val="000000"/>
          <w:sz w:val="27"/>
          <w:szCs w:val="27"/>
          <w:lang w:val="es-UY" w:eastAsia="es-UY"/>
        </w:rPr>
        <w:t>kérma</w:t>
      </w:r>
      <w:proofErr w:type="spellEnd"/>
      <w:r w:rsidRPr="001E2C81">
        <w:rPr>
          <w:rFonts w:ascii="Arial" w:eastAsia="Times New Roman" w:hAnsi="Arial" w:cs="Arial"/>
          <w:color w:val="000000"/>
          <w:sz w:val="27"/>
          <w:szCs w:val="27"/>
          <w:lang w:val="es-UY" w:eastAsia="es-UY"/>
        </w:rPr>
        <w:t> [moneda] cf. Jn 2,15; </w:t>
      </w:r>
      <w:proofErr w:type="spellStart"/>
      <w:r w:rsidRPr="001E2C81">
        <w:rPr>
          <w:rFonts w:ascii="Arial" w:eastAsia="Times New Roman" w:hAnsi="Arial" w:cs="Arial"/>
          <w:i/>
          <w:iCs/>
          <w:color w:val="000000"/>
          <w:sz w:val="27"/>
          <w:szCs w:val="27"/>
          <w:lang w:val="es-UY" w:eastAsia="es-UY"/>
        </w:rPr>
        <w:t>jrêma</w:t>
      </w:r>
      <w:proofErr w:type="spellEnd"/>
      <w:r w:rsidRPr="001E2C81">
        <w:rPr>
          <w:rFonts w:ascii="Arial" w:eastAsia="Times New Roman" w:hAnsi="Arial" w:cs="Arial"/>
          <w:color w:val="000000"/>
          <w:sz w:val="27"/>
          <w:szCs w:val="27"/>
          <w:lang w:val="es-UY" w:eastAsia="es-UY"/>
        </w:rPr>
        <w:t> [dinero], cf. Hch 4,37; 8,18.20; 24,26) </w:t>
      </w:r>
      <w:r w:rsidRPr="001E2C81">
        <w:rPr>
          <w:rFonts w:ascii="Arial" w:eastAsia="Times New Roman" w:hAnsi="Arial" w:cs="Arial"/>
          <w:i/>
          <w:iCs/>
          <w:color w:val="000000"/>
          <w:sz w:val="27"/>
          <w:szCs w:val="27"/>
          <w:lang w:val="es-UY" w:eastAsia="es-UY"/>
        </w:rPr>
        <w:t>mamona</w:t>
      </w:r>
      <w:r w:rsidRPr="001E2C81">
        <w:rPr>
          <w:rFonts w:ascii="Arial" w:eastAsia="Times New Roman" w:hAnsi="Arial" w:cs="Arial"/>
          <w:color w:val="000000"/>
          <w:sz w:val="27"/>
          <w:szCs w:val="27"/>
          <w:lang w:val="es-UY" w:eastAsia="es-UY"/>
        </w:rPr>
        <w:t> es un término semítico que no se encuentra en la Biblia hebrea, pero sí es común en tiempos del NT: se encuentra en Qumrán [1Q CD 14,20, pero el texto está muy corrompido y no puede entenderse claramente el sentido; y en la Regla de la Comunidad: señalando que “</w:t>
      </w:r>
      <w:r w:rsidRPr="001E2C81">
        <w:rPr>
          <w:rFonts w:ascii="Arial" w:eastAsia="Times New Roman" w:hAnsi="Arial" w:cs="Arial"/>
          <w:i/>
          <w:iCs/>
          <w:color w:val="000000"/>
          <w:sz w:val="27"/>
          <w:szCs w:val="27"/>
          <w:lang w:val="es-UY" w:eastAsia="es-UY"/>
        </w:rPr>
        <w:t>el pequeño obedecerá al grande en el trabajo y el dinero</w:t>
      </w:r>
      <w:r w:rsidRPr="001E2C81">
        <w:rPr>
          <w:rFonts w:ascii="Arial" w:eastAsia="Times New Roman" w:hAnsi="Arial" w:cs="Arial"/>
          <w:color w:val="000000"/>
          <w:sz w:val="27"/>
          <w:szCs w:val="27"/>
          <w:lang w:val="es-UY" w:eastAsia="es-UY"/>
        </w:rPr>
        <w:t>”  (</w:t>
      </w:r>
      <w:proofErr w:type="spellStart"/>
      <w:r w:rsidRPr="001E2C81">
        <w:rPr>
          <w:rFonts w:ascii="Arial" w:eastAsia="Times New Roman" w:hAnsi="Arial" w:cs="Arial"/>
          <w:i/>
          <w:iCs/>
          <w:color w:val="000000"/>
          <w:sz w:val="27"/>
          <w:szCs w:val="27"/>
          <w:lang w:val="es-UY" w:eastAsia="es-UY"/>
        </w:rPr>
        <w:t>w</w:t>
      </w:r>
      <w:r w:rsidRPr="001E2C81">
        <w:rPr>
          <w:rFonts w:ascii="Arial" w:eastAsia="Times New Roman" w:hAnsi="Arial" w:cs="Arial"/>
          <w:i/>
          <w:iCs/>
          <w:color w:val="000000"/>
          <w:sz w:val="27"/>
          <w:szCs w:val="27"/>
          <w:vertAlign w:val="superscript"/>
          <w:lang w:val="es-UY" w:eastAsia="es-UY"/>
        </w:rPr>
        <w:t>e</w:t>
      </w:r>
      <w:r w:rsidRPr="001E2C81">
        <w:rPr>
          <w:rFonts w:ascii="Arial" w:eastAsia="Times New Roman" w:hAnsi="Arial" w:cs="Arial"/>
          <w:i/>
          <w:iCs/>
          <w:color w:val="000000"/>
          <w:sz w:val="27"/>
          <w:szCs w:val="27"/>
          <w:lang w:val="es-UY" w:eastAsia="es-UY"/>
        </w:rPr>
        <w:t>l</w:t>
      </w:r>
      <w:r w:rsidRPr="001E2C81">
        <w:rPr>
          <w:rFonts w:ascii="Arial" w:eastAsia="Times New Roman" w:hAnsi="Arial" w:cs="Arial"/>
          <w:i/>
          <w:iCs/>
          <w:color w:val="000000"/>
          <w:sz w:val="27"/>
          <w:szCs w:val="27"/>
          <w:vertAlign w:val="superscript"/>
          <w:lang w:val="es-UY" w:eastAsia="es-UY"/>
        </w:rPr>
        <w:t>e</w:t>
      </w:r>
      <w:r w:rsidRPr="001E2C81">
        <w:rPr>
          <w:rFonts w:ascii="Arial" w:eastAsia="Times New Roman" w:hAnsi="Arial" w:cs="Arial"/>
          <w:i/>
          <w:iCs/>
          <w:color w:val="000000"/>
          <w:sz w:val="27"/>
          <w:szCs w:val="27"/>
          <w:lang w:val="es-UY" w:eastAsia="es-UY"/>
        </w:rPr>
        <w:t>mamôn</w:t>
      </w:r>
      <w:proofErr w:type="spellEnd"/>
      <w:r w:rsidRPr="001E2C81">
        <w:rPr>
          <w:rFonts w:ascii="Arial" w:eastAsia="Times New Roman" w:hAnsi="Arial" w:cs="Arial"/>
          <w:color w:val="000000"/>
          <w:sz w:val="27"/>
          <w:szCs w:val="27"/>
          <w:lang w:val="es-UY" w:eastAsia="es-UY"/>
        </w:rPr>
        <w:t>), 1QS 6,2]; en Sir 31,8: “</w:t>
      </w:r>
      <w:r w:rsidRPr="001E2C81">
        <w:rPr>
          <w:rFonts w:ascii="Arial" w:eastAsia="Times New Roman" w:hAnsi="Arial" w:cs="Arial"/>
          <w:i/>
          <w:iCs/>
          <w:color w:val="000000"/>
          <w:sz w:val="27"/>
          <w:szCs w:val="27"/>
          <w:lang w:val="es-UY" w:eastAsia="es-UY"/>
        </w:rPr>
        <w:t>feliz el rico que fue hallado intachable, que no fue tras el oro</w:t>
      </w:r>
      <w:r w:rsidRPr="001E2C81">
        <w:rPr>
          <w:rFonts w:ascii="Arial" w:eastAsia="Times New Roman" w:hAnsi="Arial" w:cs="Arial"/>
          <w:color w:val="000000"/>
          <w:sz w:val="27"/>
          <w:szCs w:val="27"/>
          <w:lang w:val="es-UY" w:eastAsia="es-UY"/>
        </w:rPr>
        <w:t>” (</w:t>
      </w:r>
      <w:proofErr w:type="spellStart"/>
      <w:r w:rsidRPr="001E2C81">
        <w:rPr>
          <w:rFonts w:ascii="Arial" w:eastAsia="Times New Roman" w:hAnsi="Arial" w:cs="Arial"/>
          <w:i/>
          <w:iCs/>
          <w:color w:val="000000"/>
          <w:sz w:val="27"/>
          <w:szCs w:val="27"/>
          <w:lang w:val="es-UY" w:eastAsia="es-UY"/>
        </w:rPr>
        <w:t>jrusíon</w:t>
      </w:r>
      <w:proofErr w:type="spellEnd"/>
      <w:r w:rsidRPr="001E2C81">
        <w:rPr>
          <w:rFonts w:ascii="Arial" w:eastAsia="Times New Roman" w:hAnsi="Arial" w:cs="Arial"/>
          <w:color w:val="000000"/>
          <w:sz w:val="27"/>
          <w:szCs w:val="27"/>
          <w:lang w:val="es-UY" w:eastAsia="es-UY"/>
        </w:rPr>
        <w:t> en griego; </w:t>
      </w:r>
      <w:r w:rsidRPr="001E2C81">
        <w:rPr>
          <w:rFonts w:ascii="Arial" w:eastAsia="Times New Roman" w:hAnsi="Arial" w:cs="Arial"/>
          <w:i/>
          <w:iCs/>
          <w:color w:val="000000"/>
          <w:sz w:val="27"/>
          <w:szCs w:val="27"/>
          <w:lang w:val="es-UY" w:eastAsia="es-UY"/>
        </w:rPr>
        <w:t>mamón</w:t>
      </w:r>
      <w:r w:rsidRPr="001E2C81">
        <w:rPr>
          <w:rFonts w:ascii="Arial" w:eastAsia="Times New Roman" w:hAnsi="Arial" w:cs="Arial"/>
          <w:color w:val="000000"/>
          <w:sz w:val="27"/>
          <w:szCs w:val="27"/>
          <w:lang w:val="es-UY" w:eastAsia="es-UY"/>
        </w:rPr>
        <w:t xml:space="preserve"> en hebreo) y es también frecuente en la </w:t>
      </w:r>
      <w:proofErr w:type="spellStart"/>
      <w:r w:rsidRPr="001E2C81">
        <w:rPr>
          <w:rFonts w:ascii="Arial" w:eastAsia="Times New Roman" w:hAnsi="Arial" w:cs="Arial"/>
          <w:color w:val="000000"/>
          <w:sz w:val="27"/>
          <w:szCs w:val="27"/>
          <w:lang w:val="es-UY" w:eastAsia="es-UY"/>
        </w:rPr>
        <w:t>Misna</w:t>
      </w:r>
      <w:proofErr w:type="spellEnd"/>
      <w:r w:rsidRPr="001E2C81">
        <w:rPr>
          <w:rFonts w:ascii="Arial" w:eastAsia="Times New Roman" w:hAnsi="Arial" w:cs="Arial"/>
          <w:color w:val="000000"/>
          <w:sz w:val="27"/>
          <w:szCs w:val="27"/>
          <w:lang w:val="es-UY" w:eastAsia="es-UY"/>
        </w:rPr>
        <w:t>. Sin embargo, el sentido de “</w:t>
      </w:r>
      <w:r w:rsidRPr="001E2C81">
        <w:rPr>
          <w:rFonts w:ascii="Arial" w:eastAsia="Times New Roman" w:hAnsi="Arial" w:cs="Arial"/>
          <w:i/>
          <w:iCs/>
          <w:color w:val="000000"/>
          <w:sz w:val="27"/>
          <w:szCs w:val="27"/>
          <w:lang w:val="es-UY" w:eastAsia="es-UY"/>
        </w:rPr>
        <w:t>riquezas</w:t>
      </w:r>
      <w:r w:rsidRPr="001E2C81">
        <w:rPr>
          <w:rFonts w:ascii="Arial" w:eastAsia="Times New Roman" w:hAnsi="Arial" w:cs="Arial"/>
          <w:color w:val="000000"/>
          <w:sz w:val="27"/>
          <w:szCs w:val="27"/>
          <w:lang w:val="es-UY" w:eastAsia="es-UY"/>
        </w:rPr>
        <w:t>” (dinero abundante) unido al término “</w:t>
      </w:r>
      <w:r w:rsidRPr="001E2C81">
        <w:rPr>
          <w:rFonts w:ascii="Arial" w:eastAsia="Times New Roman" w:hAnsi="Arial" w:cs="Arial"/>
          <w:i/>
          <w:iCs/>
          <w:color w:val="000000"/>
          <w:sz w:val="27"/>
          <w:szCs w:val="27"/>
          <w:lang w:val="es-UY" w:eastAsia="es-UY"/>
        </w:rPr>
        <w:t>injusta</w:t>
      </w:r>
      <w:r w:rsidRPr="001E2C81">
        <w:rPr>
          <w:rFonts w:ascii="Arial" w:eastAsia="Times New Roman" w:hAnsi="Arial" w:cs="Arial"/>
          <w:color w:val="000000"/>
          <w:sz w:val="27"/>
          <w:szCs w:val="27"/>
          <w:lang w:val="es-UY" w:eastAsia="es-UY"/>
        </w:rPr>
        <w:t>” de los vv.9 y 11, adquiere connotaciones mitológicas en v.13. Se trata de algo que es posible amar a la altura de Dios, se trata de un ídolo. De hecho, el término arameo “</w:t>
      </w:r>
      <w:r w:rsidRPr="001E2C81">
        <w:rPr>
          <w:rFonts w:ascii="Arial" w:eastAsia="Times New Roman" w:hAnsi="Arial" w:cs="Arial"/>
          <w:i/>
          <w:iCs/>
          <w:color w:val="000000"/>
          <w:sz w:val="27"/>
          <w:szCs w:val="27"/>
          <w:lang w:val="es-UY" w:eastAsia="es-UY"/>
        </w:rPr>
        <w:t>mamona</w:t>
      </w:r>
      <w:r w:rsidRPr="001E2C81">
        <w:rPr>
          <w:rFonts w:ascii="Arial" w:eastAsia="Times New Roman" w:hAnsi="Arial" w:cs="Arial"/>
          <w:color w:val="000000"/>
          <w:sz w:val="27"/>
          <w:szCs w:val="27"/>
          <w:lang w:val="es-UY" w:eastAsia="es-UY"/>
        </w:rPr>
        <w:t>” viene del verbo hebreo “</w:t>
      </w:r>
      <w:r w:rsidRPr="001E2C81">
        <w:rPr>
          <w:rFonts w:ascii="Arial" w:eastAsia="Times New Roman" w:hAnsi="Arial" w:cs="Arial"/>
          <w:i/>
          <w:iCs/>
          <w:color w:val="000000"/>
          <w:sz w:val="27"/>
          <w:szCs w:val="27"/>
          <w:lang w:val="es-UY" w:eastAsia="es-UY"/>
        </w:rPr>
        <w:t>amán</w:t>
      </w:r>
      <w:r w:rsidRPr="001E2C81">
        <w:rPr>
          <w:rFonts w:ascii="Arial" w:eastAsia="Times New Roman" w:hAnsi="Arial" w:cs="Arial"/>
          <w:color w:val="000000"/>
          <w:sz w:val="27"/>
          <w:szCs w:val="27"/>
          <w:lang w:val="es-UY" w:eastAsia="es-UY"/>
        </w:rPr>
        <w:t>”, de donde viene “</w:t>
      </w:r>
      <w:r w:rsidRPr="001E2C81">
        <w:rPr>
          <w:rFonts w:ascii="Arial" w:eastAsia="Times New Roman" w:hAnsi="Arial" w:cs="Arial"/>
          <w:i/>
          <w:iCs/>
          <w:color w:val="000000"/>
          <w:sz w:val="27"/>
          <w:szCs w:val="27"/>
          <w:lang w:val="es-UY" w:eastAsia="es-UY"/>
        </w:rPr>
        <w:t>amén</w:t>
      </w:r>
      <w:r w:rsidRPr="001E2C81">
        <w:rPr>
          <w:rFonts w:ascii="Arial" w:eastAsia="Times New Roman" w:hAnsi="Arial" w:cs="Arial"/>
          <w:color w:val="000000"/>
          <w:sz w:val="27"/>
          <w:szCs w:val="27"/>
          <w:lang w:val="es-UY" w:eastAsia="es-UY"/>
        </w:rPr>
        <w:t>”; es poner la confianza, pero cuando ese algo en lo que se confía no es Dios mismo, entramos en la idolatría. Y sin duda el dinero es un habitual sustituto de Dios. Especialmente porque impide mirar a los demás como hermanas y hermanos, por eso está ligado frecuentemente a la injusticia y por eso no tiene cabida en el reino.</w:t>
      </w:r>
    </w:p>
    <w:p w14:paraId="30404EB4"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Times New Roman" w:eastAsia="Times New Roman" w:hAnsi="Times New Roman" w:cs="Times New Roman"/>
          <w:color w:val="000000"/>
          <w:sz w:val="27"/>
          <w:szCs w:val="27"/>
          <w:lang w:val="es-UY" w:eastAsia="es-UY"/>
        </w:rPr>
        <w:t> </w:t>
      </w:r>
    </w:p>
    <w:p w14:paraId="2E181886"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Times New Roman" w:eastAsia="Times New Roman" w:hAnsi="Times New Roman" w:cs="Times New Roman"/>
          <w:color w:val="000000"/>
          <w:sz w:val="27"/>
          <w:szCs w:val="27"/>
          <w:lang w:val="es-UY" w:eastAsia="es-UY"/>
        </w:rPr>
        <w:t> </w:t>
      </w:r>
    </w:p>
    <w:p w14:paraId="6D718AF1"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shd w:val="clear" w:color="auto" w:fill="FCFF01"/>
          <w:lang w:val="es-UY" w:eastAsia="es-UY"/>
        </w:rPr>
        <w:t>El video con comentario al Evangelio puede verse en:</w:t>
      </w:r>
    </w:p>
    <w:p w14:paraId="37EC3D95"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hyperlink r:id="rId6" w:tgtFrame="_blank" w:history="1">
        <w:r w:rsidRPr="001E2C81">
          <w:rPr>
            <w:rFonts w:ascii="Arial" w:eastAsia="Times New Roman" w:hAnsi="Arial" w:cs="Arial"/>
            <w:color w:val="1155CC"/>
            <w:sz w:val="27"/>
            <w:szCs w:val="27"/>
            <w:u w:val="single"/>
            <w:shd w:val="clear" w:color="auto" w:fill="FCFF01"/>
            <w:lang w:val="es-UY" w:eastAsia="es-UY"/>
          </w:rPr>
          <w:t>https://blogeduopp1.blogspot.com/2022/09/video-con-comentario-al-evangelio-del_12.html</w:t>
        </w:r>
      </w:hyperlink>
    </w:p>
    <w:p w14:paraId="7D0344AF"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shd w:val="clear" w:color="auto" w:fill="FCFF01"/>
          <w:lang w:val="es-UY" w:eastAsia="es-UY"/>
        </w:rPr>
        <w:t>también puede verse en:</w:t>
      </w:r>
    </w:p>
    <w:p w14:paraId="016ED953"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hyperlink r:id="rId7" w:tgtFrame="_blank" w:history="1">
        <w:r w:rsidRPr="001E2C81">
          <w:rPr>
            <w:rFonts w:ascii="Arial" w:eastAsia="Times New Roman" w:hAnsi="Arial" w:cs="Arial"/>
            <w:color w:val="1155CC"/>
            <w:sz w:val="27"/>
            <w:szCs w:val="27"/>
            <w:u w:val="single"/>
            <w:shd w:val="clear" w:color="auto" w:fill="FCFF01"/>
            <w:lang w:val="es-UY" w:eastAsia="es-UY"/>
          </w:rPr>
          <w:t>https://youtu.be/Rr8CYvWaAQg</w:t>
        </w:r>
      </w:hyperlink>
    </w:p>
    <w:p w14:paraId="1494006C"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lang w:val="es-UY" w:eastAsia="es-UY"/>
        </w:rPr>
        <w:t> </w:t>
      </w:r>
    </w:p>
    <w:p w14:paraId="0CE0FCB7"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lang w:val="es-UY" w:eastAsia="es-UY"/>
        </w:rPr>
        <w:t> </w:t>
      </w:r>
    </w:p>
    <w:p w14:paraId="2E4BB06A"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Times New Roman" w:eastAsia="Times New Roman" w:hAnsi="Times New Roman" w:cs="Times New Roman"/>
          <w:color w:val="000000"/>
          <w:sz w:val="27"/>
          <w:szCs w:val="27"/>
          <w:lang w:val="es-UY" w:eastAsia="es-UY"/>
        </w:rPr>
        <w:t> </w:t>
      </w:r>
    </w:p>
    <w:p w14:paraId="28BBAFFC" w14:textId="77777777" w:rsidR="001E2C81" w:rsidRPr="001E2C81" w:rsidRDefault="001E2C81" w:rsidP="001E2C81">
      <w:pPr>
        <w:shd w:val="clear" w:color="auto" w:fill="FFFFFF"/>
        <w:spacing w:after="0" w:line="240" w:lineRule="auto"/>
        <w:jc w:val="both"/>
        <w:rPr>
          <w:rFonts w:ascii="Arial" w:eastAsia="Times New Roman" w:hAnsi="Arial" w:cs="Arial"/>
          <w:color w:val="222222"/>
          <w:sz w:val="24"/>
          <w:szCs w:val="24"/>
          <w:lang w:val="es-UY" w:eastAsia="es-UY"/>
        </w:rPr>
      </w:pPr>
      <w:r w:rsidRPr="001E2C81">
        <w:rPr>
          <w:rFonts w:ascii="Arial" w:eastAsia="Times New Roman" w:hAnsi="Arial" w:cs="Arial"/>
          <w:color w:val="000000"/>
          <w:sz w:val="27"/>
          <w:szCs w:val="27"/>
          <w:lang w:val="es-UY" w:eastAsia="es-UY"/>
        </w:rPr>
        <w:t>foto tomada de </w:t>
      </w:r>
      <w:hyperlink r:id="rId8" w:tgtFrame="_blank" w:history="1">
        <w:r w:rsidRPr="001E2C81">
          <w:rPr>
            <w:rFonts w:ascii="Arial" w:eastAsia="Times New Roman" w:hAnsi="Arial" w:cs="Arial"/>
            <w:color w:val="1155CC"/>
            <w:sz w:val="27"/>
            <w:szCs w:val="27"/>
            <w:u w:val="single"/>
            <w:lang w:val="es-UY" w:eastAsia="es-UY"/>
          </w:rPr>
          <w:t>padrejosemedina.blogspot.com</w:t>
        </w:r>
      </w:hyperlink>
    </w:p>
    <w:p w14:paraId="3D4C8925"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445F5"/>
    <w:multiLevelType w:val="multilevel"/>
    <w:tmpl w:val="F0A2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6555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81"/>
    <w:rsid w:val="001E2C81"/>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0746"/>
  <w15:chartTrackingRefBased/>
  <w15:docId w15:val="{0B5E9796-8374-4375-9EBB-52483C14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gger.com/blog/post/edit/2845060600014161194/2861403879468846396" TargetMode="External"/><Relationship Id="rId3" Type="http://schemas.openxmlformats.org/officeDocument/2006/relationships/settings" Target="settings.xml"/><Relationship Id="rId7" Type="http://schemas.openxmlformats.org/officeDocument/2006/relationships/hyperlink" Target="https://www.blogger.com/blog/post/edit/2845060600014161194/28614038794688463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gger.com/blog/post/edit/2845060600014161194/2861403879468846396"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2464</Words>
  <Characters>13552</Characters>
  <Application>Microsoft Office Word</Application>
  <DocSecurity>0</DocSecurity>
  <Lines>112</Lines>
  <Paragraphs>31</Paragraphs>
  <ScaleCrop>false</ScaleCrop>
  <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2022-09-13T13:21:00Z</dcterms:created>
  <dcterms:modified xsi:type="dcterms:W3CDTF">2022-09-13T13:22:00Z</dcterms:modified>
</cp:coreProperties>
</file>