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AC7A" w14:textId="77777777" w:rsidR="00A90CB1" w:rsidRPr="00A261B2" w:rsidRDefault="00A90CB1" w:rsidP="00A90CB1">
      <w:pPr>
        <w:jc w:val="both"/>
        <w:rPr>
          <w:rFonts w:ascii="Arial" w:hAnsi="Arial" w:cs="Arial"/>
          <w:b/>
          <w:bCs/>
          <w:color w:val="000000"/>
          <w:sz w:val="44"/>
          <w:szCs w:val="44"/>
          <w:shd w:val="clear" w:color="auto" w:fill="FFFFFF"/>
        </w:rPr>
      </w:pPr>
      <w:r w:rsidRPr="00A261B2">
        <w:rPr>
          <w:rFonts w:ascii="Arial" w:hAnsi="Arial" w:cs="Arial"/>
          <w:b/>
          <w:bCs/>
          <w:color w:val="000000"/>
          <w:sz w:val="44"/>
          <w:szCs w:val="44"/>
          <w:shd w:val="clear" w:color="auto" w:fill="FFFFFF"/>
        </w:rPr>
        <w:t xml:space="preserve">Duro informe de la Cepal: </w:t>
      </w:r>
    </w:p>
    <w:p w14:paraId="0E0599AB" w14:textId="77777777" w:rsidR="00A90CB1" w:rsidRDefault="00A90CB1" w:rsidP="00A90CB1">
      <w:pPr>
        <w:jc w:val="both"/>
        <w:rPr>
          <w:rFonts w:ascii="Arial" w:hAnsi="Arial" w:cs="Arial"/>
          <w:color w:val="000000"/>
          <w:sz w:val="28"/>
          <w:szCs w:val="28"/>
          <w:shd w:val="clear" w:color="auto" w:fill="FFFFFF"/>
        </w:rPr>
      </w:pPr>
      <w:r w:rsidRPr="00A90CB1">
        <w:rPr>
          <w:rFonts w:ascii="Arial" w:hAnsi="Arial" w:cs="Arial"/>
          <w:color w:val="000000"/>
          <w:sz w:val="28"/>
          <w:szCs w:val="28"/>
          <w:shd w:val="clear" w:color="auto" w:fill="FFFFFF"/>
        </w:rPr>
        <w:t>Latinoamérica retrocede casi 30 años en materia de pobreza extrema en 2021Los países con los mayores retrocesos son Argentina, Colombia y Perú, según la Comisión Económica para América Latina y el Caribe.</w:t>
      </w:r>
    </w:p>
    <w:p w14:paraId="74A4DCC7" w14:textId="77777777" w:rsidR="00A90CB1" w:rsidRPr="00A261B2" w:rsidRDefault="00A90CB1" w:rsidP="00A90CB1">
      <w:pPr>
        <w:jc w:val="both"/>
        <w:rPr>
          <w:rFonts w:ascii="Arial" w:hAnsi="Arial" w:cs="Arial"/>
          <w:b/>
          <w:bCs/>
          <w:i/>
          <w:iCs/>
          <w:color w:val="000000"/>
          <w:shd w:val="clear" w:color="auto" w:fill="FFFFFF"/>
        </w:rPr>
      </w:pPr>
      <w:r w:rsidRPr="00A261B2">
        <w:rPr>
          <w:rFonts w:ascii="Arial" w:hAnsi="Arial" w:cs="Arial"/>
          <w:b/>
          <w:bCs/>
          <w:i/>
          <w:iCs/>
          <w:color w:val="000000"/>
          <w:shd w:val="clear" w:color="auto" w:fill="FFFFFF"/>
        </w:rPr>
        <w:t xml:space="preserve">27 de Enero de 2022 | 14:46 | EFE, editado por A. González156 Alicia Bárcena, secretaria ejecutiva de la Cepal. </w:t>
      </w:r>
    </w:p>
    <w:p w14:paraId="409DAF2A" w14:textId="77777777" w:rsidR="00A90CB1" w:rsidRDefault="00A90CB1" w:rsidP="00A90CB1">
      <w:pPr>
        <w:jc w:val="both"/>
        <w:rPr>
          <w:rFonts w:ascii="Arial" w:hAnsi="Arial" w:cs="Arial"/>
          <w:color w:val="000000"/>
          <w:sz w:val="28"/>
          <w:szCs w:val="28"/>
          <w:shd w:val="clear" w:color="auto" w:fill="FFFFFF"/>
        </w:rPr>
      </w:pPr>
      <w:r w:rsidRPr="00A90CB1">
        <w:rPr>
          <w:rFonts w:ascii="Arial" w:hAnsi="Arial" w:cs="Arial"/>
          <w:color w:val="000000"/>
          <w:sz w:val="28"/>
          <w:szCs w:val="28"/>
          <w:shd w:val="clear" w:color="auto" w:fill="FFFFFF"/>
        </w:rPr>
        <w:t xml:space="preserve">EFE El segundo año de la pandemia de la covid-19 disparó la pobreza extrema en Latinoamérica hasta alcanzar a 86 millones de personas, cinco millones más que en 2020 y la mayor cifra en 27 años, apuntó este jueves un informe de la Comisión Económica para América Latina y el Caribe (Cepal). </w:t>
      </w:r>
    </w:p>
    <w:p w14:paraId="1816E626" w14:textId="77777777" w:rsidR="00A90CB1" w:rsidRDefault="00A90CB1" w:rsidP="00A90CB1">
      <w:pPr>
        <w:jc w:val="both"/>
        <w:rPr>
          <w:rFonts w:ascii="Arial" w:hAnsi="Arial" w:cs="Arial"/>
          <w:color w:val="000000"/>
          <w:sz w:val="28"/>
          <w:szCs w:val="28"/>
          <w:shd w:val="clear" w:color="auto" w:fill="FFFFFF"/>
        </w:rPr>
      </w:pPr>
      <w:r w:rsidRPr="00A261B2">
        <w:rPr>
          <w:rFonts w:ascii="Arial" w:hAnsi="Arial" w:cs="Arial"/>
          <w:b/>
          <w:bCs/>
          <w:color w:val="000000"/>
          <w:sz w:val="28"/>
          <w:szCs w:val="28"/>
          <w:shd w:val="clear" w:color="auto" w:fill="FFFFFF"/>
        </w:rPr>
        <w:t>"La recuperación económica de 2021 no ha sido suficiente para mitigar los profundos efectos sociales y laborales de la crisis sanitaria", lamentó Alicia Bárcena, secretaria ejecutiva de la Cepal,</w:t>
      </w:r>
      <w:r w:rsidRPr="00A90CB1">
        <w:rPr>
          <w:rFonts w:ascii="Arial" w:hAnsi="Arial" w:cs="Arial"/>
          <w:color w:val="000000"/>
          <w:sz w:val="28"/>
          <w:szCs w:val="28"/>
          <w:shd w:val="clear" w:color="auto" w:fill="FFFFFF"/>
        </w:rPr>
        <w:t xml:space="preserve"> durante la presentación virtual del informe desde Santiago de Chile. </w:t>
      </w:r>
    </w:p>
    <w:p w14:paraId="16D4EB1C" w14:textId="77777777" w:rsidR="00A90CB1" w:rsidRDefault="00A90CB1" w:rsidP="00A90CB1">
      <w:pPr>
        <w:jc w:val="both"/>
        <w:rPr>
          <w:rFonts w:ascii="Arial" w:hAnsi="Arial" w:cs="Arial"/>
          <w:color w:val="000000"/>
          <w:sz w:val="28"/>
          <w:szCs w:val="28"/>
          <w:shd w:val="clear" w:color="auto" w:fill="FFFFFF"/>
        </w:rPr>
      </w:pPr>
      <w:r w:rsidRPr="00A90CB1">
        <w:rPr>
          <w:rFonts w:ascii="Arial" w:hAnsi="Arial" w:cs="Arial"/>
          <w:color w:val="000000"/>
          <w:sz w:val="28"/>
          <w:szCs w:val="28"/>
          <w:shd w:val="clear" w:color="auto" w:fill="FFFFFF"/>
        </w:rPr>
        <w:t xml:space="preserve">Las ayudas sociales disminuyeron de más de US$89.000 millones en 2020 a US$45.271 millones el año pasado, explicó la funcionaria, quien llamó a "mantener las transferencias monetarias de emergencia en 2022 o hasta que la crisis sanitaria esté controlada". </w:t>
      </w:r>
    </w:p>
    <w:p w14:paraId="65292F07" w14:textId="77777777" w:rsidR="00A90CB1" w:rsidRPr="00A261B2" w:rsidRDefault="00A90CB1" w:rsidP="00A90CB1">
      <w:pPr>
        <w:jc w:val="both"/>
        <w:rPr>
          <w:rFonts w:ascii="Arial" w:hAnsi="Arial" w:cs="Arial"/>
          <w:b/>
          <w:bCs/>
          <w:color w:val="000000"/>
          <w:sz w:val="28"/>
          <w:szCs w:val="28"/>
          <w:shd w:val="clear" w:color="auto" w:fill="FFFFFF"/>
        </w:rPr>
      </w:pPr>
      <w:r w:rsidRPr="00A90CB1">
        <w:rPr>
          <w:rFonts w:ascii="Arial" w:hAnsi="Arial" w:cs="Arial"/>
          <w:color w:val="000000"/>
          <w:sz w:val="28"/>
          <w:szCs w:val="28"/>
          <w:shd w:val="clear" w:color="auto" w:fill="FFFFFF"/>
        </w:rPr>
        <w:t xml:space="preserve">El reporte "Panorama Social de América Latina" </w:t>
      </w:r>
      <w:r w:rsidRPr="00A261B2">
        <w:rPr>
          <w:rFonts w:ascii="Arial" w:hAnsi="Arial" w:cs="Arial"/>
          <w:b/>
          <w:bCs/>
          <w:color w:val="000000"/>
          <w:sz w:val="28"/>
          <w:szCs w:val="28"/>
          <w:shd w:val="clear" w:color="auto" w:fill="FFFFFF"/>
        </w:rPr>
        <w:t xml:space="preserve">estimó que la tasa de pobreza extrema creció del 13,1% al 13,8% en 2021, mientras que la pobreza disminuyó del 33% al 32,1 %, alcanzando a 201 millones de latinoamericanos. </w:t>
      </w:r>
    </w:p>
    <w:p w14:paraId="6840601C" w14:textId="77777777" w:rsidR="00A90CB1" w:rsidRDefault="00A90CB1" w:rsidP="00A90CB1">
      <w:pPr>
        <w:jc w:val="both"/>
        <w:rPr>
          <w:rFonts w:ascii="Arial" w:hAnsi="Arial" w:cs="Arial"/>
          <w:color w:val="000000"/>
          <w:sz w:val="28"/>
          <w:szCs w:val="28"/>
          <w:shd w:val="clear" w:color="auto" w:fill="FFFFFF"/>
        </w:rPr>
      </w:pPr>
      <w:r w:rsidRPr="00A90CB1">
        <w:rPr>
          <w:rFonts w:ascii="Arial" w:hAnsi="Arial" w:cs="Arial"/>
          <w:color w:val="000000"/>
          <w:sz w:val="28"/>
          <w:szCs w:val="28"/>
          <w:shd w:val="clear" w:color="auto" w:fill="FFFFFF"/>
        </w:rPr>
        <w:t xml:space="preserve">La subida de la pobreza extrema es </w:t>
      </w:r>
      <w:r w:rsidRPr="00A261B2">
        <w:rPr>
          <w:rFonts w:ascii="Arial" w:hAnsi="Arial" w:cs="Arial"/>
          <w:b/>
          <w:bCs/>
          <w:color w:val="000000"/>
          <w:sz w:val="28"/>
          <w:szCs w:val="28"/>
          <w:shd w:val="clear" w:color="auto" w:fill="FFFFFF"/>
        </w:rPr>
        <w:t>"consecuencia de una reducción de las transferencias de ingresos de emergencia que no se compensan con el incremento de los ingresos por trabajo</w:t>
      </w:r>
      <w:r w:rsidRPr="00A90CB1">
        <w:rPr>
          <w:rFonts w:ascii="Arial" w:hAnsi="Arial" w:cs="Arial"/>
          <w:color w:val="000000"/>
          <w:sz w:val="28"/>
          <w:szCs w:val="28"/>
          <w:shd w:val="clear" w:color="auto" w:fill="FFFFFF"/>
        </w:rPr>
        <w:t xml:space="preserve">", explica el documento. </w:t>
      </w:r>
    </w:p>
    <w:p w14:paraId="7E57485F" w14:textId="77777777" w:rsidR="00A90CB1" w:rsidRPr="00A261B2" w:rsidRDefault="00A90CB1" w:rsidP="00A90CB1">
      <w:pPr>
        <w:jc w:val="both"/>
        <w:rPr>
          <w:rFonts w:ascii="Arial" w:hAnsi="Arial" w:cs="Arial"/>
          <w:b/>
          <w:bCs/>
          <w:color w:val="000000"/>
          <w:sz w:val="28"/>
          <w:szCs w:val="28"/>
          <w:shd w:val="clear" w:color="auto" w:fill="FFFFFF"/>
        </w:rPr>
      </w:pPr>
      <w:r w:rsidRPr="00A261B2">
        <w:rPr>
          <w:rFonts w:ascii="Arial" w:hAnsi="Arial" w:cs="Arial"/>
          <w:b/>
          <w:bCs/>
          <w:color w:val="000000"/>
          <w:sz w:val="28"/>
          <w:szCs w:val="28"/>
          <w:shd w:val="clear" w:color="auto" w:fill="FFFFFF"/>
        </w:rPr>
        <w:t xml:space="preserve">Los países con las peores cifras son Argentina, Colombia y Perú, en donde ambos índices crecieron 7 puntos porcentuales o más, mientras que Brasil fue el único que mejoró, con una caída del 1,8% en la pobreza y 0,7% en la pobreza extrema. </w:t>
      </w:r>
    </w:p>
    <w:p w14:paraId="5A84C823" w14:textId="77777777" w:rsidR="00A90CB1" w:rsidRDefault="00A90CB1" w:rsidP="00A90CB1">
      <w:pPr>
        <w:jc w:val="both"/>
        <w:rPr>
          <w:rFonts w:ascii="Arial" w:hAnsi="Arial" w:cs="Arial"/>
          <w:color w:val="000000"/>
          <w:sz w:val="28"/>
          <w:szCs w:val="28"/>
          <w:shd w:val="clear" w:color="auto" w:fill="FFFFFF"/>
        </w:rPr>
      </w:pPr>
      <w:r w:rsidRPr="00A90CB1">
        <w:rPr>
          <w:rFonts w:ascii="Arial" w:hAnsi="Arial" w:cs="Arial"/>
          <w:color w:val="000000"/>
          <w:sz w:val="28"/>
          <w:szCs w:val="28"/>
          <w:shd w:val="clear" w:color="auto" w:fill="FFFFFF"/>
        </w:rPr>
        <w:t xml:space="preserve">Entre medio están Chile (pobreza extrema de 4,5% y pobreza 14,2% ), Costa Rica, Ecuador y Paraguay, con aumentos de pobreza de entre 3 y 5 puntos; Bolivia, México y República Dominicana, con un </w:t>
      </w:r>
      <w:r w:rsidRPr="00A90CB1">
        <w:rPr>
          <w:rFonts w:ascii="Arial" w:hAnsi="Arial" w:cs="Arial"/>
          <w:color w:val="000000"/>
          <w:sz w:val="28"/>
          <w:szCs w:val="28"/>
          <w:shd w:val="clear" w:color="auto" w:fill="FFFFFF"/>
        </w:rPr>
        <w:lastRenderedPageBreak/>
        <w:t xml:space="preserve">crecimiento de menos 2 puntos porcentuales, y El Salvador, donde prácticamente no varió. </w:t>
      </w:r>
    </w:p>
    <w:p w14:paraId="76BCE4C0" w14:textId="77777777" w:rsidR="00A90CB1" w:rsidRPr="00A261B2" w:rsidRDefault="00A90CB1" w:rsidP="00A90CB1">
      <w:pPr>
        <w:jc w:val="both"/>
        <w:rPr>
          <w:rFonts w:ascii="Arial" w:hAnsi="Arial" w:cs="Arial"/>
          <w:b/>
          <w:bCs/>
          <w:color w:val="000000"/>
          <w:sz w:val="36"/>
          <w:szCs w:val="36"/>
          <w:shd w:val="clear" w:color="auto" w:fill="FFFFFF"/>
        </w:rPr>
      </w:pPr>
      <w:r w:rsidRPr="00A261B2">
        <w:rPr>
          <w:rFonts w:ascii="Arial" w:hAnsi="Arial" w:cs="Arial"/>
          <w:b/>
          <w:bCs/>
          <w:color w:val="000000"/>
          <w:sz w:val="36"/>
          <w:szCs w:val="36"/>
          <w:shd w:val="clear" w:color="auto" w:fill="FFFFFF"/>
        </w:rPr>
        <w:t xml:space="preserve">Lenta recuperación del empleo </w:t>
      </w:r>
    </w:p>
    <w:p w14:paraId="73A720C5" w14:textId="77777777" w:rsidR="00A90CB1" w:rsidRDefault="00A90CB1" w:rsidP="00A90CB1">
      <w:pPr>
        <w:jc w:val="both"/>
        <w:rPr>
          <w:rFonts w:ascii="Arial" w:hAnsi="Arial" w:cs="Arial"/>
          <w:color w:val="000000"/>
          <w:sz w:val="28"/>
          <w:szCs w:val="28"/>
          <w:shd w:val="clear" w:color="auto" w:fill="FFFFFF"/>
        </w:rPr>
      </w:pPr>
      <w:r w:rsidRPr="00A90CB1">
        <w:rPr>
          <w:rFonts w:ascii="Arial" w:hAnsi="Arial" w:cs="Arial"/>
          <w:color w:val="000000"/>
          <w:sz w:val="28"/>
          <w:szCs w:val="28"/>
          <w:shd w:val="clear" w:color="auto" w:fill="FFFFFF"/>
        </w:rPr>
        <w:t xml:space="preserve">Con más de 55,7 millones de casos y cerca de 1,5 millones de muertes en dos años, Latinoamérica es una de las regiones más afectadas en términos sanitarios y económicos por la covid-19, que provocó en 2020 una contracción del Producto Interno Bruto (PIB) del 6,8 % -la mayor en 120 años-. </w:t>
      </w:r>
    </w:p>
    <w:p w14:paraId="57950685" w14:textId="77777777" w:rsidR="00A90CB1" w:rsidRDefault="00A90CB1" w:rsidP="00A90CB1">
      <w:pPr>
        <w:jc w:val="both"/>
        <w:rPr>
          <w:rFonts w:ascii="Arial" w:hAnsi="Arial" w:cs="Arial"/>
          <w:color w:val="000000"/>
          <w:sz w:val="28"/>
          <w:szCs w:val="28"/>
          <w:shd w:val="clear" w:color="auto" w:fill="FFFFFF"/>
        </w:rPr>
      </w:pPr>
      <w:r w:rsidRPr="00A90CB1">
        <w:rPr>
          <w:rFonts w:ascii="Arial" w:hAnsi="Arial" w:cs="Arial"/>
          <w:color w:val="000000"/>
          <w:sz w:val="28"/>
          <w:szCs w:val="28"/>
          <w:shd w:val="clear" w:color="auto" w:fill="FFFFFF"/>
        </w:rPr>
        <w:t xml:space="preserve">En 2021, con el fin de mitigar los efectos de la pandemia en el mercado laboral, los Gobiernos implementaron una serie de medidas de apoyo a trabajadores que, junto al avance de los procesos de vacunación, permitieron una "lenta recuperación" y un alza del PIB del 6,2 %, según cifras de la institución. </w:t>
      </w:r>
    </w:p>
    <w:p w14:paraId="194E94DC" w14:textId="77777777" w:rsidR="00A90CB1" w:rsidRPr="00A261B2" w:rsidRDefault="00A90CB1" w:rsidP="00A90CB1">
      <w:pPr>
        <w:jc w:val="both"/>
        <w:rPr>
          <w:rFonts w:ascii="Arial" w:hAnsi="Arial" w:cs="Arial"/>
          <w:b/>
          <w:bCs/>
          <w:color w:val="000000"/>
          <w:sz w:val="28"/>
          <w:szCs w:val="28"/>
          <w:shd w:val="clear" w:color="auto" w:fill="FFFFFF"/>
        </w:rPr>
      </w:pPr>
      <w:r w:rsidRPr="00A261B2">
        <w:rPr>
          <w:rFonts w:ascii="Arial" w:hAnsi="Arial" w:cs="Arial"/>
          <w:b/>
          <w:bCs/>
          <w:color w:val="000000"/>
          <w:sz w:val="28"/>
          <w:szCs w:val="28"/>
          <w:shd w:val="clear" w:color="auto" w:fill="FFFFFF"/>
        </w:rPr>
        <w:t xml:space="preserve">"Sin embargo, los niveles de empleo todavía no llegan a los previos a la crisis, especialmente entre las mujeres", lamentó. </w:t>
      </w:r>
    </w:p>
    <w:p w14:paraId="0FA9B220" w14:textId="77777777" w:rsidR="00A90CB1" w:rsidRDefault="00A90CB1" w:rsidP="00A90CB1">
      <w:pPr>
        <w:jc w:val="both"/>
        <w:rPr>
          <w:rFonts w:ascii="Arial" w:hAnsi="Arial" w:cs="Arial"/>
          <w:color w:val="000000"/>
          <w:sz w:val="28"/>
          <w:szCs w:val="28"/>
          <w:shd w:val="clear" w:color="auto" w:fill="FFFFFF"/>
        </w:rPr>
      </w:pPr>
      <w:r w:rsidRPr="00A90CB1">
        <w:rPr>
          <w:rFonts w:ascii="Arial" w:hAnsi="Arial" w:cs="Arial"/>
          <w:color w:val="000000"/>
          <w:sz w:val="28"/>
          <w:szCs w:val="28"/>
          <w:shd w:val="clear" w:color="auto" w:fill="FFFFFF"/>
        </w:rPr>
        <w:t xml:space="preserve">La tasa de desocupación femenina el año pasado se mantuvo en un 11,8%, frente al 8,1% de la tasa masculina. En 2020, las cifras fueron de 12,1% y el 9,1%, respectivamente. </w:t>
      </w:r>
    </w:p>
    <w:p w14:paraId="6F9B71B2" w14:textId="77777777" w:rsidR="00A90CB1" w:rsidRDefault="00A90CB1" w:rsidP="00A90CB1">
      <w:pPr>
        <w:jc w:val="both"/>
        <w:rPr>
          <w:rFonts w:ascii="Arial" w:hAnsi="Arial" w:cs="Arial"/>
          <w:color w:val="000000"/>
          <w:sz w:val="28"/>
          <w:szCs w:val="28"/>
          <w:shd w:val="clear" w:color="auto" w:fill="FFFFFF"/>
        </w:rPr>
      </w:pPr>
      <w:r w:rsidRPr="00A90CB1">
        <w:rPr>
          <w:rFonts w:ascii="Arial" w:hAnsi="Arial" w:cs="Arial"/>
          <w:color w:val="000000"/>
          <w:sz w:val="28"/>
          <w:szCs w:val="28"/>
          <w:shd w:val="clear" w:color="auto" w:fill="FFFFFF"/>
        </w:rPr>
        <w:t>"También aumentó la proporción de mujeres que no recibe ingresos propios y se mantuvieron las brechas de pobreza en áreas rurales, pueblos indígenas y la niñez", señaló Bárcena.</w:t>
      </w:r>
    </w:p>
    <w:p w14:paraId="0D33DB6F" w14:textId="77777777" w:rsidR="00A90CB1" w:rsidRPr="00A261B2" w:rsidRDefault="00A90CB1" w:rsidP="00A90CB1">
      <w:pPr>
        <w:jc w:val="both"/>
        <w:rPr>
          <w:rFonts w:ascii="Arial" w:hAnsi="Arial" w:cs="Arial"/>
          <w:b/>
          <w:bCs/>
          <w:color w:val="000000"/>
          <w:sz w:val="36"/>
          <w:szCs w:val="36"/>
          <w:shd w:val="clear" w:color="auto" w:fill="FFFFFF"/>
        </w:rPr>
      </w:pPr>
      <w:r w:rsidRPr="00A261B2">
        <w:rPr>
          <w:rFonts w:ascii="Arial" w:hAnsi="Arial" w:cs="Arial"/>
          <w:b/>
          <w:bCs/>
          <w:color w:val="000000"/>
          <w:sz w:val="36"/>
          <w:szCs w:val="36"/>
          <w:shd w:val="clear" w:color="auto" w:fill="FFFFFF"/>
        </w:rPr>
        <w:t xml:space="preserve"> Mayor desigualdad </w:t>
      </w:r>
    </w:p>
    <w:p w14:paraId="5DA8DDAF" w14:textId="77777777" w:rsidR="00A90CB1" w:rsidRDefault="00A90CB1" w:rsidP="00A90CB1">
      <w:pPr>
        <w:jc w:val="both"/>
        <w:rPr>
          <w:rFonts w:ascii="Arial" w:hAnsi="Arial" w:cs="Arial"/>
          <w:color w:val="000000"/>
          <w:sz w:val="28"/>
          <w:szCs w:val="28"/>
          <w:shd w:val="clear" w:color="auto" w:fill="FFFFFF"/>
        </w:rPr>
      </w:pPr>
      <w:r w:rsidRPr="00A90CB1">
        <w:rPr>
          <w:rFonts w:ascii="Arial" w:hAnsi="Arial" w:cs="Arial"/>
          <w:color w:val="000000"/>
          <w:sz w:val="28"/>
          <w:szCs w:val="28"/>
          <w:shd w:val="clear" w:color="auto" w:fill="FFFFFF"/>
        </w:rPr>
        <w:t xml:space="preserve">El documento sostiene que la desigualdad aumentó entre 2019 y 2020, quebrando una tendencia decreciente que venía observándose desde 2002 y que en la década de 2010 había ido perdiendo ritmo en forma progresiva. </w:t>
      </w:r>
    </w:p>
    <w:p w14:paraId="5D047E7F" w14:textId="77777777" w:rsidR="00A90CB1" w:rsidRDefault="00A90CB1" w:rsidP="00A90CB1">
      <w:pPr>
        <w:jc w:val="both"/>
        <w:rPr>
          <w:rFonts w:ascii="Arial" w:hAnsi="Arial" w:cs="Arial"/>
          <w:color w:val="000000"/>
          <w:sz w:val="28"/>
          <w:szCs w:val="28"/>
          <w:shd w:val="clear" w:color="auto" w:fill="FFFFFF"/>
        </w:rPr>
      </w:pPr>
      <w:r w:rsidRPr="00A90CB1">
        <w:rPr>
          <w:rFonts w:ascii="Arial" w:hAnsi="Arial" w:cs="Arial"/>
          <w:color w:val="000000"/>
          <w:sz w:val="28"/>
          <w:szCs w:val="28"/>
          <w:shd w:val="clear" w:color="auto" w:fill="FFFFFF"/>
        </w:rPr>
        <w:t xml:space="preserve">El Coeficiente de Gini, utilizado internacionalmente para medir la distribución del ingreso, creció en 0,7 puntos porcentuales para el promedio regional debido a las repercusiones de la pandemia, señaló el informe. </w:t>
      </w:r>
    </w:p>
    <w:p w14:paraId="1020EC4F" w14:textId="2B96F09B" w:rsidR="00A90CB1" w:rsidRDefault="00A90CB1" w:rsidP="00A90CB1">
      <w:pPr>
        <w:jc w:val="both"/>
        <w:rPr>
          <w:rFonts w:ascii="Arial" w:hAnsi="Arial" w:cs="Arial"/>
          <w:color w:val="000000"/>
          <w:sz w:val="28"/>
          <w:szCs w:val="28"/>
          <w:shd w:val="clear" w:color="auto" w:fill="FFFFFF"/>
        </w:rPr>
      </w:pPr>
      <w:r w:rsidRPr="00A90CB1">
        <w:rPr>
          <w:rFonts w:ascii="Arial" w:hAnsi="Arial" w:cs="Arial"/>
          <w:color w:val="000000"/>
          <w:sz w:val="28"/>
          <w:szCs w:val="28"/>
          <w:shd w:val="clear" w:color="auto" w:fill="FFFFFF"/>
        </w:rPr>
        <w:t xml:space="preserve">Las mayores alzas de la desigualdad tuvieron lugar en Perú, Chile, El Salvador, Bolivia y Colombia. Por su parte, República Dominicana, Brasil, Paraguay, México y Costa Rica mejoraron en la distribución de la riqueza. </w:t>
      </w:r>
    </w:p>
    <w:p w14:paraId="5899401A" w14:textId="77777777" w:rsidR="00A90CB1" w:rsidRDefault="00A90CB1" w:rsidP="00A90CB1">
      <w:pPr>
        <w:jc w:val="both"/>
        <w:rPr>
          <w:rFonts w:ascii="Arial" w:hAnsi="Arial" w:cs="Arial"/>
          <w:color w:val="000000"/>
          <w:sz w:val="28"/>
          <w:szCs w:val="28"/>
          <w:shd w:val="clear" w:color="auto" w:fill="FFFFFF"/>
        </w:rPr>
      </w:pPr>
    </w:p>
    <w:p w14:paraId="2615C0EC" w14:textId="77777777" w:rsidR="00A90CB1" w:rsidRPr="00A261B2" w:rsidRDefault="00A90CB1" w:rsidP="00A90CB1">
      <w:pPr>
        <w:jc w:val="both"/>
        <w:rPr>
          <w:rFonts w:ascii="Arial" w:hAnsi="Arial" w:cs="Arial"/>
          <w:b/>
          <w:bCs/>
          <w:color w:val="000000"/>
          <w:sz w:val="36"/>
          <w:szCs w:val="36"/>
          <w:shd w:val="clear" w:color="auto" w:fill="FFFFFF"/>
        </w:rPr>
      </w:pPr>
      <w:r w:rsidRPr="00A261B2">
        <w:rPr>
          <w:rFonts w:ascii="Arial" w:hAnsi="Arial" w:cs="Arial"/>
          <w:b/>
          <w:bCs/>
          <w:color w:val="000000"/>
          <w:sz w:val="36"/>
          <w:szCs w:val="36"/>
          <w:shd w:val="clear" w:color="auto" w:fill="FFFFFF"/>
        </w:rPr>
        <w:t xml:space="preserve">Avance de Ómicron </w:t>
      </w:r>
    </w:p>
    <w:p w14:paraId="1387079E" w14:textId="77777777" w:rsidR="00A261B2" w:rsidRDefault="00A90CB1" w:rsidP="00A90CB1">
      <w:pPr>
        <w:jc w:val="both"/>
        <w:rPr>
          <w:rFonts w:ascii="Arial" w:hAnsi="Arial" w:cs="Arial"/>
          <w:color w:val="000000"/>
          <w:sz w:val="28"/>
          <w:szCs w:val="28"/>
          <w:shd w:val="clear" w:color="auto" w:fill="FFFFFF"/>
        </w:rPr>
      </w:pPr>
      <w:r w:rsidRPr="00A90CB1">
        <w:rPr>
          <w:rFonts w:ascii="Arial" w:hAnsi="Arial" w:cs="Arial"/>
          <w:color w:val="000000"/>
          <w:sz w:val="28"/>
          <w:szCs w:val="28"/>
          <w:shd w:val="clear" w:color="auto" w:fill="FFFFFF"/>
        </w:rPr>
        <w:t xml:space="preserve">La variante Ómicron, que según la organización Mundial de la Salud (OMS) es la predominante en el mundo, ha provocado una escalada de contagios sin precedentes en Latinoamérica con récord de infectados en varios países como México, Argentina, Perú y Chile. </w:t>
      </w:r>
    </w:p>
    <w:p w14:paraId="1F8C373E" w14:textId="77777777" w:rsidR="00A261B2" w:rsidRDefault="00A90CB1" w:rsidP="00A90CB1">
      <w:pPr>
        <w:jc w:val="both"/>
        <w:rPr>
          <w:rFonts w:ascii="Arial" w:hAnsi="Arial" w:cs="Arial"/>
          <w:color w:val="000000"/>
          <w:sz w:val="28"/>
          <w:szCs w:val="28"/>
          <w:shd w:val="clear" w:color="auto" w:fill="FFFFFF"/>
        </w:rPr>
      </w:pPr>
      <w:r w:rsidRPr="00A90CB1">
        <w:rPr>
          <w:rFonts w:ascii="Arial" w:hAnsi="Arial" w:cs="Arial"/>
          <w:color w:val="000000"/>
          <w:sz w:val="28"/>
          <w:szCs w:val="28"/>
          <w:shd w:val="clear" w:color="auto" w:fill="FFFFFF"/>
        </w:rPr>
        <w:t xml:space="preserve">"La evolución de esta variante, así como de variantes futuras, sumado al despliegue de la vacunación son factores cruciales para entender el futuro de esta crisis", explicó la funcionaria. </w:t>
      </w:r>
    </w:p>
    <w:p w14:paraId="0AEB8A18" w14:textId="77777777" w:rsidR="00A261B2" w:rsidRDefault="00A90CB1" w:rsidP="00A90CB1">
      <w:pPr>
        <w:jc w:val="both"/>
        <w:rPr>
          <w:rFonts w:ascii="Arial" w:hAnsi="Arial" w:cs="Arial"/>
          <w:color w:val="000000"/>
          <w:sz w:val="28"/>
          <w:szCs w:val="28"/>
          <w:shd w:val="clear" w:color="auto" w:fill="FFFFFF"/>
        </w:rPr>
      </w:pPr>
      <w:r w:rsidRPr="00A90CB1">
        <w:rPr>
          <w:rFonts w:ascii="Arial" w:hAnsi="Arial" w:cs="Arial"/>
          <w:color w:val="000000"/>
          <w:sz w:val="28"/>
          <w:szCs w:val="28"/>
          <w:shd w:val="clear" w:color="auto" w:fill="FFFFFF"/>
        </w:rPr>
        <w:t xml:space="preserve">A día de hoy, el 62,3% de la población de América Latina (408 millones de personas) cuenta con dos dosis, pero la distribución es todavía muy desigual dentro de la región. </w:t>
      </w:r>
    </w:p>
    <w:p w14:paraId="4A865569" w14:textId="77777777" w:rsidR="00A261B2" w:rsidRPr="00A261B2" w:rsidRDefault="00A90CB1" w:rsidP="00A90CB1">
      <w:pPr>
        <w:jc w:val="both"/>
        <w:rPr>
          <w:rFonts w:ascii="Arial" w:hAnsi="Arial" w:cs="Arial"/>
          <w:b/>
          <w:bCs/>
          <w:color w:val="000000"/>
          <w:sz w:val="28"/>
          <w:szCs w:val="28"/>
          <w:shd w:val="clear" w:color="auto" w:fill="FFFFFF"/>
        </w:rPr>
      </w:pPr>
      <w:r w:rsidRPr="00A261B2">
        <w:rPr>
          <w:rFonts w:ascii="Arial" w:hAnsi="Arial" w:cs="Arial"/>
          <w:b/>
          <w:bCs/>
          <w:color w:val="000000"/>
          <w:sz w:val="28"/>
          <w:szCs w:val="28"/>
          <w:shd w:val="clear" w:color="auto" w:fill="FFFFFF"/>
        </w:rPr>
        <w:t>Son 26 de los 33 países los que no han podido vacunar al 70% de la población, dijo Bárcena, siendo el caso más grave el de Haití, que no llega al 1%. "</w:t>
      </w:r>
    </w:p>
    <w:p w14:paraId="4FE93C54" w14:textId="77777777" w:rsidR="00A261B2" w:rsidRDefault="00A90CB1" w:rsidP="00A90CB1">
      <w:pPr>
        <w:jc w:val="both"/>
        <w:rPr>
          <w:rFonts w:ascii="Arial" w:hAnsi="Arial" w:cs="Arial"/>
          <w:color w:val="000000"/>
          <w:sz w:val="28"/>
          <w:szCs w:val="28"/>
          <w:shd w:val="clear" w:color="auto" w:fill="FFFFFF"/>
        </w:rPr>
      </w:pPr>
      <w:r w:rsidRPr="00A90CB1">
        <w:rPr>
          <w:rFonts w:ascii="Arial" w:hAnsi="Arial" w:cs="Arial"/>
          <w:color w:val="000000"/>
          <w:sz w:val="28"/>
          <w:szCs w:val="28"/>
          <w:shd w:val="clear" w:color="auto" w:fill="FFFFFF"/>
        </w:rPr>
        <w:t>La pandemia es una oportunidad histórica para construir un nuevo pacto social. Ahora vienen años de menor crecimiento económico y, si no se mantienen los esfuerzos, serán mayores los aumentos en pobreza y desigualdad", concluyó.</w:t>
      </w:r>
    </w:p>
    <w:p w14:paraId="66EE58AA" w14:textId="1E878440" w:rsidR="002E2F5B" w:rsidRDefault="00A90CB1" w:rsidP="00A90CB1">
      <w:pPr>
        <w:jc w:val="both"/>
      </w:pP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Fuente: Emol.com - </w:t>
      </w:r>
      <w:hyperlink r:id="rId4" w:history="1">
        <w:r>
          <w:rPr>
            <w:rStyle w:val="Hipervnculo"/>
            <w:rFonts w:ascii="Arial" w:hAnsi="Arial" w:cs="Arial"/>
            <w:sz w:val="18"/>
            <w:szCs w:val="18"/>
            <w:bdr w:val="none" w:sz="0" w:space="0" w:color="auto" w:frame="1"/>
            <w:shd w:val="clear" w:color="auto" w:fill="FFFFFF"/>
          </w:rPr>
          <w:t>https://www.emol.com/noticias/Economia/2022/01/27/1045170/pobreza-latinoamerica-cepal-cifras.html</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CB1"/>
    <w:rsid w:val="002E2F5B"/>
    <w:rsid w:val="00A261B2"/>
    <w:rsid w:val="00A90CB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55E6"/>
  <w15:chartTrackingRefBased/>
  <w15:docId w15:val="{3FDF7872-ECD5-486E-811B-4CDCF843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90C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mol.com/noticias/Economia/2022/01/27/1045170/pobreza-latinoamerica-cepal-cifr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790</Words>
  <Characters>4345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2022-01-27T21:36:00Z</dcterms:created>
  <dcterms:modified xsi:type="dcterms:W3CDTF">2022-01-27T21:57:00Z</dcterms:modified>
</cp:coreProperties>
</file>