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24D9" w14:textId="77777777" w:rsidR="00E45FCA" w:rsidRPr="00E45FCA" w:rsidRDefault="00E45FCA" w:rsidP="00E45F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b/>
          <w:bCs/>
          <w:color w:val="000000"/>
          <w:sz w:val="36"/>
          <w:szCs w:val="36"/>
          <w:lang w:val="es-AR" w:eastAsia="es-UY"/>
        </w:rPr>
        <w:t>Dios quiere reinar desde la insignificancia</w:t>
      </w:r>
    </w:p>
    <w:p w14:paraId="7C776DF2" w14:textId="77777777" w:rsidR="00E45FCA" w:rsidRPr="00E45FCA" w:rsidRDefault="00E45FCA" w:rsidP="00E45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DOMINGO UNDÉCIMO - "B"</w:t>
      </w:r>
    </w:p>
    <w:p w14:paraId="0CC1EA4F" w14:textId="77777777" w:rsidR="00E45FCA" w:rsidRPr="00E45FCA" w:rsidRDefault="00E45FCA" w:rsidP="00E45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064682E3" w14:textId="77777777" w:rsidR="00E45FCA" w:rsidRPr="00E45FCA" w:rsidRDefault="00E45FCA" w:rsidP="00E45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5A17FC0E" w14:textId="77777777" w:rsidR="00E45FCA" w:rsidRPr="00E45FCA" w:rsidRDefault="00E45FCA" w:rsidP="00E45F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Eduardo de la Serna</w:t>
      </w:r>
    </w:p>
    <w:p w14:paraId="652D8AC3" w14:textId="2D3D24A3" w:rsidR="00E45FCA" w:rsidRPr="00E45FCA" w:rsidRDefault="00E45FCA" w:rsidP="00E45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drawing>
          <wp:inline distT="0" distB="0" distL="0" distR="0" wp14:anchorId="320D1C7C" wp14:editId="0C86DF9C">
            <wp:extent cx="2457450" cy="1866900"/>
            <wp:effectExtent l="0" t="0" r="0" b="0"/>
            <wp:docPr id="1" name="Imagen 1" descr="Flor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lor de color blanco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14757" w14:textId="77777777" w:rsidR="00E45FCA" w:rsidRPr="00E45FCA" w:rsidRDefault="00E45FCA" w:rsidP="00E45F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408A88AE" w14:textId="77777777" w:rsidR="00E45FCA" w:rsidRPr="00E45FCA" w:rsidRDefault="00E45FCA" w:rsidP="00E45F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1DAA5E45" w14:textId="77777777" w:rsidR="00E45FCA" w:rsidRPr="00E45FCA" w:rsidRDefault="00E45FCA" w:rsidP="00E45F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b/>
          <w:bCs/>
          <w:color w:val="000000"/>
          <w:sz w:val="27"/>
          <w:szCs w:val="27"/>
          <w:lang w:val="es-AR" w:eastAsia="es-UY"/>
        </w:rPr>
        <w:t>Lectura de la profecía de Ezequiel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     17, 22-24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br/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br/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Resumen: En un contexto de crítica a las autoridades que no se han preocupado por su pueblo, surge una nota de esperanza. Ese pueblo crecerá, y dará fruto, y una sombra capaz de albergar a todos.</w:t>
      </w:r>
    </w:p>
    <w:p w14:paraId="2BEF357D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El texto del profeta comienza con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Así dice el Señor Yahvé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(v.22) y finaliza con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Yo, Yahvé he hablado y lo haré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(v.24) con lo que la unidad es completa. El versículo siguiente vuelve a comenzar otra unidad (“la palabra del Señor se dirigió a mí…”, 18,1). En 17,3-10 se presentan a modo de imágenes un águila y una vid. En v.11 se dirige la palabra de Yahvé al profeta para explicar el significado de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esto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”. En v.19 se destacan las consecuencias: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por esto, así dice el Señor Yahvé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”. Se trata de castigo a los dirigentes (águila) por como trataron al pueblo (vid) y este será el exilio en Babilonia (vv.19-21). Pero la imagen vegetal de la vid muta a 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cedro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 (v.22) donde se destaca la altura y las ramas frondosas y sus frutos. Las aves a la sombra de sus ramas (“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toda clase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”) puede referirse a todos los hijos de Israel dispersos, o a todas las naciones (aunque esta lectura no parece propia de Ezequiel sino de lecturas posteriores; a menos que – Ez 31,6 – se entienda que como en tiempos de David a Israel irán todas las naciones, como vasallos, a rendir tributo) y es plantado en el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alto monte de Israel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(v.23); sin duda se refiere a la comunidad judía que está en el exilio sobre la que se pronuncia una promesa de esperanza: Dios humilla al árbol 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elevado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 y eleva al 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humillado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 (v.24).</w:t>
      </w:r>
    </w:p>
    <w:p w14:paraId="12E3CDA3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485495CB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700373B2" w14:textId="77777777" w:rsidR="00E45FCA" w:rsidRPr="00E45FCA" w:rsidRDefault="00E45FCA" w:rsidP="00E45F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b/>
          <w:bCs/>
          <w:color w:val="000000"/>
          <w:sz w:val="27"/>
          <w:szCs w:val="27"/>
          <w:lang w:val="es-AR" w:eastAsia="es-UY"/>
        </w:rPr>
        <w:lastRenderedPageBreak/>
        <w:t>Lectura de la segunda carta de san Pablo a los cristianos de Corinto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     5, 6-10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br/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br/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Resumen: el don del Espíritu de Dios asegura al creyente a mantenerse en el camino y poder vivir coherentemente con lo que de hecho es.</w:t>
      </w:r>
    </w:p>
    <w:p w14:paraId="4F7A6388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El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desmoronamiento de la morada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es algo previsible en el predicador de la Palabra, pero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tenemos,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los cristianos, otra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habitación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: la idea de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habitar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y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deshabitar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sólo se encuentra aquí (3 veces) en todo el NT y siempre ambos verbos están juntos.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Habitar el cuerpo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es semejante a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estar en la tienda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, el acento está puesto en la fragilidad. Esto nos llena de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confianza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,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no nos desanimamos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(4,16), y el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gemido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(5,2.4) está movido por la presencia del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Espíritu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 (cf. </w:t>
      </w:r>
      <w:proofErr w:type="spellStart"/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Rom</w:t>
      </w:r>
      <w:proofErr w:type="spellEnd"/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8,23), por eso es algo que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sabemos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(5,1) y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anhelamos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,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deseando intensamente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. Todas estas metáforas nos permiten descubrir la tensión escatológica de la vida del cristiano, la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tensión entre el imperativo y el indicativo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, seremos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resucitados con Jesús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(4,14). Eso es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caminar en fe, no en visión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, que es semejante al ver, ahora, como en espejo y luego ver cara a cara (cf. 1 </w:t>
      </w:r>
      <w:proofErr w:type="spellStart"/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Cor</w:t>
      </w:r>
      <w:proofErr w:type="spellEnd"/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13,12). Mientras tanto,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ambicionamos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, es un honor para nosotros, en este camino de tensión hacia el Señor, vivos o muertos (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en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o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fuera del cuerpo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),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serle agradable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(</w:t>
      </w:r>
      <w:proofErr w:type="spellStart"/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euarestós</w:t>
      </w:r>
      <w:proofErr w:type="spellEnd"/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), término usado, en los escritos paulinos, casi exclusivamente en la parte parenética, que siempre tiene como objeto a Dios o Cristo (aunque, cf. </w:t>
      </w:r>
      <w:proofErr w:type="spellStart"/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Tit</w:t>
      </w:r>
      <w:proofErr w:type="spellEnd"/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2,9). Supone un discernimiento de aquello que le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agrada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para luego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desearlo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, buscarlo con intensidad, sea que enfrente situaciones de muerte o sea ante situaciones de vida. La mirada escatológica se precisa más aun en la referencia al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tribunal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que es de Dios donde Cristo actúa (</w:t>
      </w:r>
      <w:proofErr w:type="spellStart"/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Rom</w:t>
      </w:r>
      <w:proofErr w:type="spellEnd"/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2,16) y somos </w:t>
      </w:r>
      <w:r w:rsidRPr="00E45FCA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manifiestos</w:t>
      </w:r>
      <w:r w:rsidRPr="00E45FCA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(aoristo con sentido de futuro: lo seremos en ese momento concreto).</w:t>
      </w:r>
    </w:p>
    <w:p w14:paraId="25493997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05331FE3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155B0CA0" w14:textId="77777777" w:rsidR="00E45FCA" w:rsidRPr="00E45FCA" w:rsidRDefault="00E45FCA" w:rsidP="00E45F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+ </w:t>
      </w:r>
      <w:r w:rsidRPr="00E45FCA">
        <w:rPr>
          <w:rFonts w:ascii="Arial" w:eastAsia="Times New Roman" w:hAnsi="Arial" w:cs="Arial"/>
          <w:b/>
          <w:bCs/>
          <w:color w:val="000000"/>
          <w:sz w:val="27"/>
          <w:szCs w:val="27"/>
          <w:lang w:val="es-AR" w:eastAsia="es-UY"/>
        </w:rPr>
        <w:t>Evangelio según san Marcos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     4, 26-34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br/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br/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Resumen: El Reino es ejemplificado en parábolas vegetales en las que se destaca nítidamente la iniciativa de Dios y su capacidad de dar fruto sorprendente, aunque nada lo indique en el comienzo.</w:t>
      </w:r>
    </w:p>
    <w:p w14:paraId="610022B3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Con dos parábolas sobre el Reino de Dios y una segunda explicación de por qué habla en parábolas concluye el “capítulo de comparaciones” propio de Marcos (que Mateo toma y amplía). En la primera parábola se compara con un hombre, en la segunda con un “grano de mostaza”, con lo que sabemos “dónde hay que mirar”. </w:t>
      </w:r>
    </w:p>
    <w:p w14:paraId="5D401F4B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7FFD5A28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El hombre que echa grano en la tierra pasa a quedar inactivo, “desaparece”,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no sabe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”, el resto lo hace el grano. Incluso cuando llega el tiempo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se le envía 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(</w:t>
      </w:r>
      <w:proofErr w:type="spellStart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apostéllei</w:t>
      </w:r>
      <w:proofErr w:type="spellEnd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)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 la hoz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”, no se señala que eso lo hace “el hombre”. De hecho, aunque la parábola nos habla del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hombre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(</w:t>
      </w:r>
      <w:proofErr w:type="spellStart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anthrôpos</w:t>
      </w:r>
      <w:proofErr w:type="spellEnd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) pareciera que la protagonista es la semilla. Se señalan los extremos (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duerma – se levante, de noche – de día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) y que en el entretanto, él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no sabe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”, la semilla germina y crece, la tierra (pasa a la tierra ahora)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automáticamente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produce 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fruto 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[no debería excluirse – como también la hay en otras partes – una imagen de la “madre tierra” en esta figura]; el término “</w:t>
      </w:r>
      <w:proofErr w:type="spellStart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automatê</w:t>
      </w:r>
      <w:proofErr w:type="spellEnd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(“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por sí misma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”) es usado en el AT para referir a lo que es obrado por Dios solo (</w:t>
      </w:r>
      <w:proofErr w:type="spellStart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Lv</w:t>
      </w:r>
      <w:proofErr w:type="spellEnd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 xml:space="preserve"> 25,5.11; Jos 6,5; 2 Re 19,29; ver </w:t>
      </w:r>
      <w:proofErr w:type="spellStart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Hch</w:t>
      </w:r>
      <w:proofErr w:type="spellEnd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 xml:space="preserve"> 12,10); el Reino es algo que sólo realiza Dios, no los seres humanos. Todo el proceso de la creación entra en juego, la semilla y la tierra producen fruto y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el hombre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sólo puso la semilla en tierra [una vez más, como en tantas parábolas, la imagen es campesina]. </w:t>
      </w:r>
    </w:p>
    <w:p w14:paraId="3578AF89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71F2F01C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Así, el “hombre” aparece como simple colaborador, “pone su semilla”, pero es Dios el que hace el resto, escapa al obrar humano (quizás como una crítica – de Marcos, no de Jesús – al grupo zelote que quiere acelerar la llegada del reino para confrontar militarmente con Roma). De eso se trata el Reino. Los enviados de Jesús, los discípulos están invitados a poner su parte, pero confiados en que es Dios el que hace todo y de quién hemos de esperar los frutos.</w:t>
      </w:r>
    </w:p>
    <w:p w14:paraId="0FF25E1B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6010F611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Nuevamente una parábola campesina, aunque aquí (ya que el acento está puesto en el grano, no en el sembrador) “el hombre” desaparece. El grano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se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siembra. Pero no se trata de cualquier grano, sino uno de 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mostaza 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 xml:space="preserve">que es proverbialmente minúsculo (ver </w:t>
      </w:r>
      <w:proofErr w:type="spellStart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Lc</w:t>
      </w:r>
      <w:proofErr w:type="spellEnd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 xml:space="preserve"> 17,6: “fe como del tamaño de un grano de mostaza”). Pero el tema no se concentra solamente en la pequeñez de la semilla (“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 xml:space="preserve">la más pequeña de todas”, </w:t>
      </w:r>
      <w:proofErr w:type="spellStart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mikróteron</w:t>
      </w:r>
      <w:proofErr w:type="spellEnd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 xml:space="preserve"> </w:t>
      </w:r>
      <w:proofErr w:type="spellStart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on</w:t>
      </w:r>
      <w:proofErr w:type="spellEnd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 xml:space="preserve"> </w:t>
      </w:r>
      <w:proofErr w:type="spellStart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pantôn</w:t>
      </w:r>
      <w:proofErr w:type="spellEnd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) sino en el contraste con que llega a ser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mayor que todas” (</w:t>
      </w:r>
      <w:proofErr w:type="spellStart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meizon</w:t>
      </w:r>
      <w:proofErr w:type="spellEnd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 xml:space="preserve"> </w:t>
      </w:r>
      <w:proofErr w:type="spellStart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pantôn</w:t>
      </w:r>
      <w:proofErr w:type="spellEnd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). Este contraste “dice” del Reino. Tiene un comienzo insignificante, los pobres, enfermos y pecadores son “nada” para todos los tiempos, pero el accionar de Dios lo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eleva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y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se hace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tan grande que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las aves del cielo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 xml:space="preserve">” (a las que hace referencia Ez 17,23 – la primera lectura de hoy – 31,6 y </w:t>
      </w:r>
      <w:proofErr w:type="spellStart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Dn</w:t>
      </w:r>
      <w:proofErr w:type="spellEnd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 xml:space="preserve"> 4,9 y que refiere a la multitud de las naciones paganas) 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anidan 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en su sombra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”.</w:t>
      </w:r>
    </w:p>
    <w:p w14:paraId="05BCD63A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38731FB3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La unidad finaliza (repitiendo, en cierta manera, lo ya anunciado en 4,10-12) señalando que Jesús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con muchas parábolas como estas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(lo que indica que el autor ha hecho una selección)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exponía la palabra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(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 xml:space="preserve">ton </w:t>
      </w:r>
      <w:proofErr w:type="spellStart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lógon</w:t>
      </w:r>
      <w:proofErr w:type="spellEnd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) según podían escucharle;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no hablaba sin parábolas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(parece indicar que Jesús no hablaba sino en parábolas cuando se refería al Reino) pero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a sus propios 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[</w:t>
      </w:r>
      <w:proofErr w:type="spellStart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idíos</w:t>
      </w:r>
      <w:proofErr w:type="spellEnd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]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 discípulos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se los explicaba todo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en privado” 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[</w:t>
      </w:r>
      <w:proofErr w:type="spellStart"/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idíos</w:t>
      </w:r>
      <w:proofErr w:type="spellEnd"/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]. La idea ya había sido destacada en el contraste entre “ustedes” (los discípulos” y los de “afuera” (v.11). Las parábolas, entonces, son el modo de dirigirse de Jesús a la multitud. En ellas habla del Reino, pero tiene luego una revelación especial para los “suyos”. </w:t>
      </w:r>
    </w:p>
    <w:p w14:paraId="3393EB72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4CBC50F3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Es interesante en esta unidad (3,7-6,6a) el contraste que establece Marcos entre los de 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fuera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 y los de 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dentro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. Los discípulos son los que están dentro de la nueva "casa" que es la comunidad, mientras que fuera están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los demás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”. Es a aquellos a los que Jesús se dirige de un modo especial y “</w:t>
      </w:r>
      <w:r w:rsidRPr="00E45FCA">
        <w:rPr>
          <w:rFonts w:ascii="Arial" w:eastAsia="Times New Roman" w:hAnsi="Arial" w:cs="Arial"/>
          <w:i/>
          <w:iCs/>
          <w:color w:val="000000"/>
          <w:sz w:val="27"/>
          <w:szCs w:val="27"/>
          <w:lang w:val="es-AR" w:eastAsia="es-UY"/>
        </w:rPr>
        <w:t>en privado</w:t>
      </w: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” les explica (el tema continúa más adelante en el Evangelio, cf. 7,17: 9,28; 10,10). Es una unidad centrada en el discipulado presentado como superador de toda otra instancia como puede ser incluso la familia. De esto hablará también más adelante.</w:t>
      </w:r>
    </w:p>
    <w:p w14:paraId="6F7A60A0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44D9DEF9" w14:textId="77777777" w:rsidR="00E45FCA" w:rsidRPr="00E45FCA" w:rsidRDefault="00E45FCA" w:rsidP="00E4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  <w:t> </w:t>
      </w:r>
    </w:p>
    <w:p w14:paraId="754BD23E" w14:textId="77777777" w:rsidR="00E45FCA" w:rsidRPr="00E45FCA" w:rsidRDefault="00E45FCA" w:rsidP="00E4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6D6D6D"/>
          <w:sz w:val="27"/>
          <w:szCs w:val="27"/>
          <w:shd w:val="clear" w:color="auto" w:fill="FFFF00"/>
          <w:lang w:val="es-AR" w:eastAsia="es-UY"/>
        </w:rPr>
        <w:t>Video con comentario al Evangelio puede verse en </w:t>
      </w:r>
      <w:hyperlink r:id="rId5" w:tgtFrame="_blank" w:history="1">
        <w:r w:rsidRPr="00E45FCA">
          <w:rPr>
            <w:rFonts w:ascii="Arial" w:eastAsia="Times New Roman" w:hAnsi="Arial" w:cs="Arial"/>
            <w:color w:val="1155CC"/>
            <w:sz w:val="27"/>
            <w:szCs w:val="27"/>
            <w:u w:val="single"/>
            <w:shd w:val="clear" w:color="auto" w:fill="FFFF00"/>
            <w:lang w:val="es-AR" w:eastAsia="es-UY"/>
          </w:rPr>
          <w:t>https://youtu.be/_NYPsj4YJNk</w:t>
        </w:r>
      </w:hyperlink>
    </w:p>
    <w:p w14:paraId="78CD81EA" w14:textId="77777777" w:rsidR="00E45FCA" w:rsidRPr="00E45FCA" w:rsidRDefault="00E45FCA" w:rsidP="00E4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  <w:t> </w:t>
      </w:r>
    </w:p>
    <w:p w14:paraId="7EFDF5B3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6FC7D26E" w14:textId="77777777" w:rsidR="00E45FCA" w:rsidRPr="00E45FCA" w:rsidRDefault="00E45FCA" w:rsidP="00E45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Foto tomada de </w:t>
      </w:r>
      <w:hyperlink r:id="rId6" w:tgtFrame="_blank" w:history="1">
        <w:r w:rsidRPr="00E45FCA">
          <w:rPr>
            <w:rFonts w:ascii="Arial" w:eastAsia="Times New Roman" w:hAnsi="Arial" w:cs="Arial"/>
            <w:color w:val="1155CC"/>
            <w:sz w:val="27"/>
            <w:szCs w:val="27"/>
            <w:u w:val="single"/>
            <w:lang w:val="es-AR" w:eastAsia="es-UY"/>
          </w:rPr>
          <w:t>elcandildelospensamientos.com</w:t>
        </w:r>
      </w:hyperlink>
    </w:p>
    <w:p w14:paraId="5FE0B048" w14:textId="77777777" w:rsidR="00E45FCA" w:rsidRPr="00E45FCA" w:rsidRDefault="00E45FCA" w:rsidP="00E4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  <w:t> </w:t>
      </w:r>
    </w:p>
    <w:p w14:paraId="49D7B0C4" w14:textId="77777777" w:rsidR="00E45FCA" w:rsidRPr="00E45FCA" w:rsidRDefault="00E45FCA" w:rsidP="00E45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UY"/>
        </w:rPr>
        <w:t>http:\\</w:t>
      </w:r>
      <w:hyperlink r:id="rId7" w:tgtFrame="_blank" w:history="1">
        <w:r w:rsidRPr="00E45FC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s-AR" w:eastAsia="es-UY"/>
          </w:rPr>
          <w:t>blogeduopp1.blogspot.com</w:t>
        </w:r>
      </w:hyperlink>
    </w:p>
    <w:p w14:paraId="72A53DA5" w14:textId="77777777" w:rsidR="00E45FCA" w:rsidRPr="00E45FCA" w:rsidRDefault="00E45FCA" w:rsidP="00E45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hyperlink r:id="rId8" w:tgtFrame="_blank" w:history="1">
        <w:r w:rsidRPr="00E45FC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s-AR" w:eastAsia="es-UY"/>
          </w:rPr>
          <w:t>https://www.religiondigital.org/un_oido_en_el_evangelio_y_otro_en_el_pueblo/</w:t>
        </w:r>
      </w:hyperlink>
    </w:p>
    <w:p w14:paraId="483AD91A" w14:textId="77777777" w:rsidR="00E45FCA" w:rsidRPr="00E45FCA" w:rsidRDefault="00E45FCA" w:rsidP="00E45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val="es-AR" w:eastAsia="es-UY"/>
        </w:rPr>
      </w:pPr>
      <w:r w:rsidRPr="00E45FCA">
        <w:rPr>
          <w:rFonts w:ascii="Arial" w:eastAsia="Times New Roman" w:hAnsi="Arial" w:cs="Arial"/>
          <w:color w:val="888888"/>
          <w:sz w:val="24"/>
          <w:szCs w:val="24"/>
          <w:lang w:val="es-AR" w:eastAsia="es-UY"/>
        </w:rPr>
        <w:t> </w:t>
      </w:r>
    </w:p>
    <w:sectPr w:rsidR="00E45FCA" w:rsidRPr="00E45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CA"/>
    <w:rsid w:val="002E2F5B"/>
    <w:rsid w:val="00E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E1F4"/>
  <w15:chartTrackingRefBased/>
  <w15:docId w15:val="{C1BAD74C-5DD1-45A2-AB2F-D527AA7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giondigital.org/un_oido_en_el_evangelio_y_otro_en_el_puebl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ogeduopp1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ogger.com/blog/post/edit/2845060600014161194/6573396539726397089" TargetMode="External"/><Relationship Id="rId5" Type="http://schemas.openxmlformats.org/officeDocument/2006/relationships/hyperlink" Target="https://youtu.be/_NYPsj4YJ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2021-06-08T13:10:00Z</dcterms:created>
  <dcterms:modified xsi:type="dcterms:W3CDTF">2021-06-08T13:11:00Z</dcterms:modified>
</cp:coreProperties>
</file>