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379C" w14:textId="71DFECCC" w:rsidR="00D80AB0" w:rsidRDefault="00D80AB0" w:rsidP="00D80AB0">
      <w:pPr>
        <w:spacing w:after="0" w:line="240" w:lineRule="auto"/>
        <w:rPr>
          <w:rFonts w:ascii="inherit" w:eastAsia="Times New Roman" w:hAnsi="inherit" w:cs="Times New Roman"/>
          <w:b/>
          <w:bCs/>
          <w:sz w:val="32"/>
          <w:szCs w:val="32"/>
          <w:lang w:val="es-UY" w:eastAsia="es-UY"/>
        </w:rPr>
      </w:pPr>
      <w:r w:rsidRPr="00D80AB0">
        <w:rPr>
          <w:rFonts w:ascii="inherit" w:eastAsia="Times New Roman" w:hAnsi="inherit" w:cs="Times New Roman"/>
          <w:b/>
          <w:bCs/>
          <w:sz w:val="32"/>
          <w:szCs w:val="32"/>
          <w:lang w:val="es-UY" w:eastAsia="es-UY"/>
        </w:rPr>
        <w:t>EMOCIONES INTELIGENTES</w:t>
      </w:r>
    </w:p>
    <w:p w14:paraId="368C46AB" w14:textId="3E7FF200" w:rsidR="00D80AB0" w:rsidRDefault="00D80AB0" w:rsidP="00D80AB0">
      <w:pPr>
        <w:spacing w:after="0" w:line="240" w:lineRule="auto"/>
        <w:rPr>
          <w:rFonts w:ascii="inherit" w:eastAsia="Times New Roman" w:hAnsi="inherit" w:cs="Times New Roman"/>
          <w:b/>
          <w:bCs/>
          <w:sz w:val="32"/>
          <w:szCs w:val="32"/>
          <w:lang w:val="es-UY" w:eastAsia="es-UY"/>
        </w:rPr>
      </w:pPr>
    </w:p>
    <w:p w14:paraId="4D73C8B5" w14:textId="77E59D2F" w:rsidR="00D80AB0" w:rsidRPr="00D80AB0" w:rsidRDefault="00D80AB0" w:rsidP="00D80AB0">
      <w:pPr>
        <w:spacing w:after="0" w:line="240" w:lineRule="auto"/>
        <w:jc w:val="right"/>
        <w:rPr>
          <w:rFonts w:ascii="inherit" w:eastAsia="Times New Roman" w:hAnsi="inherit" w:cs="Times New Roman"/>
          <w:b/>
          <w:bCs/>
          <w:sz w:val="24"/>
          <w:szCs w:val="24"/>
          <w:lang w:val="es-UY" w:eastAsia="es-UY"/>
        </w:rPr>
      </w:pPr>
      <w:r w:rsidRPr="00D80AB0">
        <w:rPr>
          <w:rFonts w:ascii="inherit" w:eastAsia="Times New Roman" w:hAnsi="inherit" w:cs="Times New Roman"/>
          <w:b/>
          <w:bCs/>
          <w:sz w:val="24"/>
          <w:szCs w:val="24"/>
          <w:lang w:val="es-UY" w:eastAsia="es-UY"/>
        </w:rPr>
        <w:t xml:space="preserve">Virginia </w:t>
      </w:r>
      <w:proofErr w:type="spellStart"/>
      <w:r w:rsidRPr="00D80AB0">
        <w:rPr>
          <w:rFonts w:ascii="inherit" w:eastAsia="Times New Roman" w:hAnsi="inherit" w:cs="Times New Roman"/>
          <w:b/>
          <w:bCs/>
          <w:sz w:val="24"/>
          <w:szCs w:val="24"/>
          <w:lang w:val="es-UY" w:eastAsia="es-UY"/>
        </w:rPr>
        <w:t>Azcuy</w:t>
      </w:r>
      <w:proofErr w:type="spellEnd"/>
    </w:p>
    <w:p w14:paraId="542B5CB9" w14:textId="77777777" w:rsidR="00D80AB0" w:rsidRPr="00D80AB0" w:rsidRDefault="00D80AB0" w:rsidP="00D80AB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s-UY" w:eastAsia="es-UY"/>
        </w:rPr>
      </w:pPr>
    </w:p>
    <w:p w14:paraId="5528113F" w14:textId="77777777" w:rsidR="00D80AB0" w:rsidRP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En este tiempo que vivimos, nos invaden diversos sentimientos y emociones, que a veces se hacen difíciles de sobrellevar: cansancio, contrariedad, incertidumbre, miedo, tristeza. Cada una y cada uno necesita lidiar con cuestiones prácticas de la vida cotidiana y, a la vez, con estados anímicos nuevos, cambiantes, no exentos de perturbación e inquietud. ¿Qué mediaciones nos pueden ayudar a transformar positivamente nuestras emociones? Pienso que los relatos de la resurrección, las apariciones y la ascensión del capítulo 24 de Lucas pueden aportarnos varias luces.</w:t>
      </w:r>
    </w:p>
    <w:p w14:paraId="7D2A72DA" w14:textId="323AE06D" w:rsid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El final del evangelio de Lucas y el comienzo del libro de los Hechos nos ubican en el tránsito entre la muerte, la resurrección y la ascensión de Jesús, en el camino que va de la tristeza a la alegría, del temor a la paz, que precede a la venida del Espíritu Santo y al comienzo formal de la Iglesia. El capítulo 24 en particular, que trata sobre las mujeres en el sepulcro (1-8) y su testimonio (9-12), las apariciones de Emaús (13-35) y a los apóstoles (36-43) y la ascensión (50-53), expone diversos sentimientos y emociones vividas por las mujeres y los discípulos en este tránsito. Por algún motivo, Lucas no destaca el lugar de las mujeres como discípulas de Jesús, como se hace evidente al omitir la aparición de Jesús a María Magdalena, presente en Mc 16,9; 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Jn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20,16 y Mt 28,9 (ver 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Marinella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Perroni, “Discípulas, pero no apóstoles: la obra de Lucas”, en La Biblia y las mujeres 4).</w:t>
      </w:r>
    </w:p>
    <w:p w14:paraId="17C08D1E" w14:textId="77777777" w:rsidR="00D80AB0" w:rsidRP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</w:p>
    <w:p w14:paraId="608514A6" w14:textId="50F2715E" w:rsid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En cuanto a las emociones, en el sepulcro, se presenta a las mujeres “llenas de temor” (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Lc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24,5); ese mismo sentimiento acompaña a los discípulos cuando se les aparece Jesús: “atónitos y llenos de temor” (24,37). Un primer elemento que interviene en los relatos para superar este estado interior es la invitación a la memoria de lo ya anunciado y prometido: los mensajeros del sepulcro piden a las mujeres que recuerden lo que Jesús les decía sobre su muerte y resurrección y ellas recordaron (24,6-8). Ellas contaron todo lo vivido a los apóstoles, pero ellos “no les creyeron” (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Lc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24,11); los discípulos de Emaús, para creer, necesitan que Jesús les hable en el camino, les reproche su falta de fe en el testimonio de las mujeres y les explique las Escrituras (24,13-35). Pero este nuevo testimonio tampoco fue suficiente para los apóstoles, quienes al ver a Jesús resucitado se llenaron de temor hasta que vieron las manos y los pies de Jesús y se llenaron de alegría (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Lc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24,38-41).</w:t>
      </w:r>
    </w:p>
    <w:p w14:paraId="7FF40932" w14:textId="77777777" w:rsidR="00D80AB0" w:rsidRP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</w:p>
    <w:p w14:paraId="6C75FD18" w14:textId="77777777" w:rsidR="00D80AB0" w:rsidRPr="00D80AB0" w:rsidRDefault="00D80AB0" w:rsidP="00D80AB0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En un relato posterior dedicado a las últimas instrucciones de Jesús, se completa el panorama porque el Señor recuerda sus enseñanzas sobre el cumplimiento de las Escrituras y les abrió su inteligencia para que pudieran comprenderlas, sobre todo las referidas a su muerte y resurrección, así como a su predicación a todas las naciones (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Lc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24,45-47). En ese contexto, Jesús les dice: “ustedes son mis testigos” (24,48) y preanuncia el don del Espíritu, que se retoma al comienzo de Hechos: “recibirán la fuerza del Espíritu Santo, que descenderá sobre ustedes y serán mis testigos en Jerusalén, en toda Judea y Samaría, y hasta los confines de la tierra” (</w:t>
      </w:r>
      <w:proofErr w:type="spellStart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Hch</w:t>
      </w:r>
      <w:proofErr w:type="spellEnd"/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 xml:space="preserve"> 1,8). Ser testigo de la resurrección de Jesús exige transitar del temor a la admiración, animarse a recordar para entender y a tocar para creer. Quienes creemos apoyamos nuestro testimonio en otras y otros que hicieron este tránsito y se dejaron transformar en sus </w:t>
      </w: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lastRenderedPageBreak/>
        <w:t xml:space="preserve">emociones negativas para creer. ¿Queremos testimoniar la resurrección?, ¿con qué emociones?, ¿cuáles puntos de apoyo? </w:t>
      </w:r>
    </w:p>
    <w:p w14:paraId="057B64ED" w14:textId="5011D280" w:rsidR="00D80AB0" w:rsidRDefault="00D80AB0" w:rsidP="00D80AB0">
      <w:pPr>
        <w:spacing w:after="75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rPr>
          <w:rFonts w:ascii="Candara" w:eastAsia="Times New Roman" w:hAnsi="Candara" w:cs="Times New Roman"/>
          <w:sz w:val="24"/>
          <w:szCs w:val="24"/>
          <w:lang w:val="es-UY" w:eastAsia="es-UY"/>
        </w:rPr>
        <w:t>En este tiempo pascual, pedimos a Jesús que sane nuestras emociones de temor, incerteza y tristeza, para que seamos capaces de acoger la admiración, la alegría y lo nuevo e inesperado. También pedimos que se abra nuestra inteligencia, para que podamos comprender el llamado de Dios en este tiempo y mudar nuestras emociones ciegas en emociones inteligentes.</w:t>
      </w:r>
    </w:p>
    <w:p w14:paraId="56C564C5" w14:textId="2356DFAF" w:rsidR="00D80AB0" w:rsidRDefault="00D80AB0" w:rsidP="00D80AB0">
      <w:pPr>
        <w:spacing w:after="75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  <w:r w:rsidRPr="00D80AB0">
        <w:drawing>
          <wp:inline distT="0" distB="0" distL="0" distR="0" wp14:anchorId="0AFB19F7" wp14:editId="18983C88">
            <wp:extent cx="5334000" cy="2969260"/>
            <wp:effectExtent l="0" t="0" r="0" b="2540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694" cy="298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011D7" w14:textId="1727EFBB" w:rsidR="00D80AB0" w:rsidRDefault="00D80AB0" w:rsidP="00D80AB0">
      <w:pPr>
        <w:spacing w:after="75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</w:p>
    <w:p w14:paraId="72249BD8" w14:textId="017B8F2E" w:rsidR="00D80AB0" w:rsidRDefault="00D80AB0" w:rsidP="00D80AB0">
      <w:pPr>
        <w:spacing w:after="75" w:line="240" w:lineRule="auto"/>
        <w:jc w:val="both"/>
        <w:rPr>
          <w:rFonts w:ascii="Candara" w:eastAsia="Times New Roman" w:hAnsi="Candara" w:cs="Times New Roman"/>
          <w:sz w:val="24"/>
          <w:szCs w:val="24"/>
          <w:lang w:val="es-UY" w:eastAsia="es-UY"/>
        </w:rPr>
      </w:pPr>
    </w:p>
    <w:p w14:paraId="73B688F8" w14:textId="281DA0B1" w:rsidR="00D80AB0" w:rsidRPr="00D80AB0" w:rsidRDefault="00D80AB0" w:rsidP="00D80AB0">
      <w:pPr>
        <w:spacing w:after="75" w:line="240" w:lineRule="auto"/>
        <w:jc w:val="both"/>
        <w:rPr>
          <w:rFonts w:ascii="Candara" w:eastAsia="Times New Roman" w:hAnsi="Candara" w:cs="Times New Roman"/>
          <w:color w:val="4472C4" w:themeColor="accent1"/>
          <w:sz w:val="20"/>
          <w:szCs w:val="20"/>
          <w:lang w:val="es-UY" w:eastAsia="es-UY"/>
        </w:rPr>
      </w:pPr>
      <w:r w:rsidRPr="00D80AB0">
        <w:rPr>
          <w:rFonts w:ascii="Candara" w:eastAsia="Times New Roman" w:hAnsi="Candara" w:cs="Times New Roman"/>
          <w:color w:val="4472C4" w:themeColor="accent1"/>
          <w:sz w:val="20"/>
          <w:szCs w:val="20"/>
          <w:lang w:val="es-UY" w:eastAsia="es-UY"/>
        </w:rPr>
        <w:t xml:space="preserve">Del Facebook de Virginia </w:t>
      </w:r>
      <w:proofErr w:type="spellStart"/>
      <w:r w:rsidRPr="00D80AB0">
        <w:rPr>
          <w:rFonts w:ascii="Candara" w:eastAsia="Times New Roman" w:hAnsi="Candara" w:cs="Times New Roman"/>
          <w:color w:val="4472C4" w:themeColor="accent1"/>
          <w:sz w:val="20"/>
          <w:szCs w:val="20"/>
          <w:lang w:val="es-UY" w:eastAsia="es-UY"/>
        </w:rPr>
        <w:t>Azcuy</w:t>
      </w:r>
      <w:proofErr w:type="spellEnd"/>
    </w:p>
    <w:sectPr w:rsidR="00D80AB0" w:rsidRPr="00D8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0"/>
    <w:rsid w:val="002E2F5B"/>
    <w:rsid w:val="00D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8DE"/>
  <w15:chartTrackingRefBased/>
  <w15:docId w15:val="{84F0B5C3-CBAC-47E8-A43B-0ED150F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3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65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327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685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191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843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15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17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8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12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376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87750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30497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6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897235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557952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25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86835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8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2021-04-22T11:03:00Z</dcterms:created>
  <dcterms:modified xsi:type="dcterms:W3CDTF">2021-04-22T11:05:00Z</dcterms:modified>
</cp:coreProperties>
</file>