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5B50" w14:textId="77777777" w:rsidR="002405AA" w:rsidRDefault="002405AA" w:rsidP="002405AA">
      <w:pPr>
        <w:pBdr>
          <w:bottom w:val="dotted" w:sz="6" w:space="3" w:color="CCCCCC"/>
        </w:pBdr>
        <w:spacing w:after="0" w:line="264" w:lineRule="atLeast"/>
        <w:jc w:val="both"/>
        <w:outlineLvl w:val="0"/>
        <w:rPr>
          <w:rFonts w:ascii="Verdana" w:eastAsia="Times New Roman" w:hAnsi="Verdana" w:cs="Arial"/>
          <w:b/>
          <w:color w:val="000000"/>
          <w:kern w:val="36"/>
          <w:sz w:val="24"/>
          <w:szCs w:val="24"/>
          <w:lang w:eastAsia="es-ES"/>
        </w:rPr>
      </w:pPr>
    </w:p>
    <w:p w14:paraId="5632EC92" w14:textId="77777777" w:rsidR="002405AA" w:rsidRPr="002405AA" w:rsidRDefault="002405AA" w:rsidP="002405AA">
      <w:pPr>
        <w:pBdr>
          <w:bottom w:val="dotted" w:sz="6" w:space="3" w:color="CCCCCC"/>
        </w:pBdr>
        <w:spacing w:after="0" w:line="264" w:lineRule="atLeast"/>
        <w:jc w:val="both"/>
        <w:outlineLvl w:val="0"/>
        <w:rPr>
          <w:rFonts w:ascii="Verdana" w:eastAsia="Times New Roman" w:hAnsi="Verdana" w:cs="Arial"/>
          <w:b/>
          <w:color w:val="000000"/>
          <w:kern w:val="36"/>
          <w:sz w:val="28"/>
          <w:szCs w:val="28"/>
          <w:lang w:eastAsia="es-ES"/>
        </w:rPr>
      </w:pPr>
      <w:r w:rsidRPr="002405AA">
        <w:rPr>
          <w:rFonts w:ascii="Verdana" w:eastAsia="Times New Roman" w:hAnsi="Verdana" w:cs="Arial"/>
          <w:b/>
          <w:color w:val="000000"/>
          <w:kern w:val="36"/>
          <w:sz w:val="28"/>
          <w:szCs w:val="28"/>
          <w:lang w:eastAsia="es-ES"/>
        </w:rPr>
        <w:t xml:space="preserve">1. La no Ordenación sacerdotal de las mujeres, es ajena a la Escritura y a la verdad revelada. </w:t>
      </w:r>
      <w:r w:rsidRPr="002405AA">
        <w:rPr>
          <w:rFonts w:ascii="French Script MT" w:eastAsia="Times New Roman" w:hAnsi="French Script MT" w:cs="Arial"/>
          <w:b/>
          <w:color w:val="000000"/>
          <w:kern w:val="36"/>
          <w:sz w:val="28"/>
          <w:szCs w:val="28"/>
          <w:lang w:eastAsia="es-ES"/>
        </w:rPr>
        <w:t xml:space="preserve">Benjamín </w:t>
      </w:r>
      <w:proofErr w:type="spellStart"/>
      <w:r w:rsidRPr="002405AA">
        <w:rPr>
          <w:rFonts w:ascii="French Script MT" w:eastAsia="Times New Roman" w:hAnsi="French Script MT" w:cs="Arial"/>
          <w:b/>
          <w:color w:val="000000"/>
          <w:kern w:val="36"/>
          <w:sz w:val="28"/>
          <w:szCs w:val="28"/>
          <w:lang w:eastAsia="es-ES"/>
        </w:rPr>
        <w:t>Forcano</w:t>
      </w:r>
      <w:proofErr w:type="spellEnd"/>
      <w:r w:rsidRPr="002405AA">
        <w:rPr>
          <w:rFonts w:ascii="French Script MT" w:eastAsia="Times New Roman" w:hAnsi="French Script MT" w:cs="Arial"/>
          <w:b/>
          <w:color w:val="000000"/>
          <w:kern w:val="36"/>
          <w:sz w:val="28"/>
          <w:szCs w:val="28"/>
          <w:lang w:eastAsia="es-ES"/>
        </w:rPr>
        <w:t xml:space="preserve"> </w:t>
      </w:r>
    </w:p>
    <w:p w14:paraId="3FB5134F" w14:textId="4090D5A0" w:rsidR="002405AA" w:rsidRPr="00064F15" w:rsidRDefault="002405AA" w:rsidP="002405AA">
      <w:pPr>
        <w:pBdr>
          <w:bottom w:val="dotted" w:sz="6" w:space="3" w:color="CCCCCC"/>
        </w:pBdr>
        <w:spacing w:after="0" w:line="264" w:lineRule="atLeast"/>
        <w:jc w:val="both"/>
        <w:outlineLvl w:val="0"/>
        <w:rPr>
          <w:rFonts w:ascii="Verdana" w:eastAsia="Times New Roman" w:hAnsi="Verdana" w:cs="Arial"/>
          <w:b/>
          <w:color w:val="000000"/>
          <w:kern w:val="36"/>
          <w:sz w:val="24"/>
          <w:szCs w:val="24"/>
          <w:lang w:eastAsia="es-ES"/>
        </w:rPr>
      </w:pPr>
      <w:r w:rsidRPr="00B6055B">
        <w:rPr>
          <w:rFonts w:ascii="French Script MT" w:eastAsia="Times New Roman" w:hAnsi="French Script MT" w:cs="Arial"/>
          <w:b/>
          <w:color w:val="000000"/>
          <w:kern w:val="36"/>
          <w:sz w:val="40"/>
          <w:szCs w:val="40"/>
          <w:lang w:eastAsia="es-ES"/>
        </w:rPr>
        <w:tab/>
      </w:r>
      <w:r w:rsidRPr="00B6055B">
        <w:rPr>
          <w:rFonts w:ascii="French Script MT" w:eastAsia="Times New Roman" w:hAnsi="French Script MT" w:cs="Arial"/>
          <w:b/>
          <w:color w:val="000000"/>
          <w:kern w:val="36"/>
          <w:sz w:val="40"/>
          <w:szCs w:val="40"/>
          <w:lang w:eastAsia="es-ES"/>
        </w:rPr>
        <w:tab/>
      </w:r>
      <w:r w:rsidRPr="00B6055B">
        <w:rPr>
          <w:rFonts w:ascii="French Script MT" w:eastAsia="Times New Roman" w:hAnsi="French Script MT" w:cs="Arial"/>
          <w:b/>
          <w:color w:val="000000"/>
          <w:kern w:val="36"/>
          <w:sz w:val="40"/>
          <w:szCs w:val="40"/>
          <w:lang w:eastAsia="es-ES"/>
        </w:rPr>
        <w:tab/>
      </w:r>
    </w:p>
    <w:p w14:paraId="20B290F2" w14:textId="77777777" w:rsidR="002405AA" w:rsidRPr="009752A6" w:rsidRDefault="002405AA" w:rsidP="002405AA">
      <w:pPr>
        <w:pBdr>
          <w:bottom w:val="dotted" w:sz="6" w:space="3" w:color="CCCCCC"/>
        </w:pBdr>
        <w:spacing w:after="0" w:line="264" w:lineRule="atLeast"/>
        <w:outlineLvl w:val="0"/>
        <w:rPr>
          <w:rFonts w:ascii="Arial" w:eastAsia="Times New Roman" w:hAnsi="Arial" w:cs="Arial"/>
          <w:color w:val="000000"/>
          <w:kern w:val="36"/>
          <w:sz w:val="28"/>
          <w:szCs w:val="28"/>
          <w:lang w:eastAsia="es-ES"/>
        </w:rPr>
      </w:pPr>
      <w:r>
        <w:rPr>
          <w:rFonts w:ascii="Arial" w:eastAsia="Times New Roman" w:hAnsi="Arial" w:cs="Arial"/>
          <w:color w:val="000000"/>
          <w:kern w:val="36"/>
          <w:sz w:val="28"/>
          <w:szCs w:val="28"/>
          <w:lang w:eastAsia="es-ES"/>
        </w:rPr>
        <w:tab/>
        <w:t xml:space="preserve">        </w:t>
      </w:r>
    </w:p>
    <w:p w14:paraId="7D6F662F" w14:textId="77777777" w:rsidR="002405AA" w:rsidRPr="002405AA" w:rsidRDefault="002405AA" w:rsidP="002405AA">
      <w:pPr>
        <w:spacing w:after="0" w:line="270" w:lineRule="atLeast"/>
        <w:jc w:val="both"/>
        <w:rPr>
          <w:rFonts w:ascii="Bodoni MT Condensed" w:eastAsia="Times New Roman" w:hAnsi="Bodoni MT Condensed" w:cs="Arial"/>
          <w:color w:val="000000"/>
          <w:kern w:val="36"/>
          <w:sz w:val="24"/>
          <w:szCs w:val="24"/>
          <w:lang w:eastAsia="es-ES"/>
        </w:rPr>
      </w:pPr>
    </w:p>
    <w:p w14:paraId="35B003D9" w14:textId="77777777" w:rsidR="002405AA" w:rsidRPr="002405AA" w:rsidRDefault="002405AA" w:rsidP="002405AA">
      <w:pPr>
        <w:spacing w:line="480" w:lineRule="auto"/>
        <w:jc w:val="both"/>
        <w:rPr>
          <w:rFonts w:ascii="Arial" w:eastAsia="Times New Roman" w:hAnsi="Arial" w:cs="Arial"/>
          <w:color w:val="000000"/>
          <w:sz w:val="24"/>
          <w:szCs w:val="24"/>
          <w:lang w:eastAsia="es-ES"/>
        </w:rPr>
      </w:pPr>
      <w:r w:rsidRPr="002405AA">
        <w:rPr>
          <w:rFonts w:ascii="Arial" w:eastAsia="Times New Roman" w:hAnsi="Arial" w:cs="Arial"/>
          <w:color w:val="000000"/>
          <w:sz w:val="24"/>
          <w:szCs w:val="24"/>
          <w:lang w:eastAsia="es-ES"/>
        </w:rPr>
        <w:tab/>
        <w:t xml:space="preserve">Me propongo  destacar una doctrina muy propia de la comunidad eclesial, pero olvidada, o mejor,  silenciada: la del </w:t>
      </w:r>
      <w:r w:rsidRPr="002405AA">
        <w:rPr>
          <w:rFonts w:ascii="Arial" w:eastAsia="Times New Roman" w:hAnsi="Arial" w:cs="Arial"/>
          <w:i/>
          <w:color w:val="000000"/>
          <w:sz w:val="24"/>
          <w:szCs w:val="24"/>
          <w:lang w:eastAsia="es-ES"/>
        </w:rPr>
        <w:t>sacerdocio común</w:t>
      </w:r>
      <w:r w:rsidRPr="002405AA">
        <w:rPr>
          <w:rFonts w:ascii="Arial" w:eastAsia="Times New Roman" w:hAnsi="Arial" w:cs="Arial"/>
          <w:color w:val="000000"/>
          <w:sz w:val="24"/>
          <w:szCs w:val="24"/>
          <w:lang w:eastAsia="es-ES"/>
        </w:rPr>
        <w:t>, que es primigenia, absolutamente tradicional y ortodoxa.</w:t>
      </w:r>
      <w:r w:rsidRPr="002405AA">
        <w:rPr>
          <w:rFonts w:ascii="Arial" w:eastAsia="Times New Roman" w:hAnsi="Arial" w:cs="Arial"/>
          <w:color w:val="000000"/>
          <w:sz w:val="24"/>
          <w:szCs w:val="24"/>
          <w:lang w:eastAsia="es-ES"/>
        </w:rPr>
        <w:tab/>
        <w:t xml:space="preserve"> Para entrar un poco a fondo en ella,  pienso que sería necesario un estudio </w:t>
      </w:r>
      <w:proofErr w:type="spellStart"/>
      <w:r w:rsidRPr="002405AA">
        <w:rPr>
          <w:rFonts w:ascii="Arial" w:eastAsia="Times New Roman" w:hAnsi="Arial" w:cs="Arial"/>
          <w:color w:val="000000"/>
          <w:sz w:val="24"/>
          <w:szCs w:val="24"/>
          <w:lang w:eastAsia="es-ES"/>
        </w:rPr>
        <w:t>biblico</w:t>
      </w:r>
      <w:proofErr w:type="spellEnd"/>
      <w:r w:rsidRPr="002405AA">
        <w:rPr>
          <w:rFonts w:ascii="Arial" w:eastAsia="Times New Roman" w:hAnsi="Arial" w:cs="Arial"/>
          <w:color w:val="000000"/>
          <w:sz w:val="24"/>
          <w:szCs w:val="24"/>
          <w:lang w:eastAsia="es-ES"/>
        </w:rPr>
        <w:t xml:space="preserve"> teológico. A tal efecto, me voy a ceñir a exponer la  cuestión en dos PARTES.   Una PRIMERA, que reflejará el pensar del teólogo Domiciano Fernández según su libro  “</w:t>
      </w:r>
      <w:r w:rsidRPr="002405AA">
        <w:rPr>
          <w:rFonts w:ascii="Arial" w:eastAsia="Times New Roman" w:hAnsi="Arial" w:cs="Arial"/>
          <w:i/>
          <w:color w:val="000000"/>
          <w:sz w:val="24"/>
          <w:szCs w:val="24"/>
          <w:lang w:eastAsia="es-ES"/>
        </w:rPr>
        <w:t>Ministerios de la mujer en la Iglesia”</w:t>
      </w:r>
      <w:r w:rsidRPr="002405AA">
        <w:rPr>
          <w:rFonts w:ascii="Arial" w:eastAsia="Times New Roman" w:hAnsi="Arial" w:cs="Arial"/>
          <w:color w:val="000000"/>
          <w:sz w:val="24"/>
          <w:szCs w:val="24"/>
          <w:lang w:eastAsia="es-ES"/>
        </w:rPr>
        <w:t xml:space="preserve">  y  parte del artículo de Demetrio Velasco “</w:t>
      </w:r>
      <w:r w:rsidRPr="002405AA">
        <w:rPr>
          <w:rFonts w:ascii="Arial" w:eastAsia="Times New Roman" w:hAnsi="Arial" w:cs="Arial"/>
          <w:i/>
          <w:color w:val="000000"/>
          <w:sz w:val="24"/>
          <w:szCs w:val="24"/>
          <w:lang w:eastAsia="es-ES"/>
        </w:rPr>
        <w:t xml:space="preserve">La hipoteca de la lógica </w:t>
      </w:r>
      <w:proofErr w:type="spellStart"/>
      <w:r w:rsidRPr="002405AA">
        <w:rPr>
          <w:rFonts w:ascii="Arial" w:eastAsia="Times New Roman" w:hAnsi="Arial" w:cs="Arial"/>
          <w:i/>
          <w:color w:val="000000"/>
          <w:sz w:val="24"/>
          <w:szCs w:val="24"/>
          <w:lang w:eastAsia="es-ES"/>
        </w:rPr>
        <w:t>patriarcalista</w:t>
      </w:r>
      <w:proofErr w:type="spellEnd"/>
      <w:r w:rsidRPr="002405AA">
        <w:rPr>
          <w:rFonts w:ascii="Arial" w:eastAsia="Times New Roman" w:hAnsi="Arial" w:cs="Arial"/>
          <w:i/>
          <w:color w:val="000000"/>
          <w:sz w:val="24"/>
          <w:szCs w:val="24"/>
          <w:lang w:eastAsia="es-ES"/>
        </w:rPr>
        <w:t xml:space="preserve"> y clerical”</w:t>
      </w:r>
      <w:r w:rsidRPr="002405AA">
        <w:rPr>
          <w:rFonts w:ascii="Arial" w:eastAsia="Times New Roman" w:hAnsi="Arial" w:cs="Arial"/>
          <w:color w:val="000000"/>
          <w:sz w:val="24"/>
          <w:szCs w:val="24"/>
          <w:lang w:eastAsia="es-ES"/>
        </w:rPr>
        <w:t xml:space="preserve">. Y una SEGUNDA PARTE , que reflejará la investigación  del teólogo Xabier </w:t>
      </w:r>
      <w:proofErr w:type="spellStart"/>
      <w:r w:rsidRPr="002405AA">
        <w:rPr>
          <w:rFonts w:ascii="Arial" w:eastAsia="Times New Roman" w:hAnsi="Arial" w:cs="Arial"/>
          <w:color w:val="000000"/>
          <w:sz w:val="24"/>
          <w:szCs w:val="24"/>
          <w:lang w:eastAsia="es-ES"/>
        </w:rPr>
        <w:t>Pikaza</w:t>
      </w:r>
      <w:proofErr w:type="spellEnd"/>
      <w:r w:rsidRPr="002405AA">
        <w:rPr>
          <w:rFonts w:ascii="Arial" w:eastAsia="Times New Roman" w:hAnsi="Arial" w:cs="Arial"/>
          <w:color w:val="000000"/>
          <w:sz w:val="24"/>
          <w:szCs w:val="24"/>
          <w:lang w:eastAsia="es-ES"/>
        </w:rPr>
        <w:t xml:space="preserve">, según su libro </w:t>
      </w:r>
      <w:r w:rsidRPr="002405AA">
        <w:rPr>
          <w:rFonts w:ascii="Arial" w:eastAsia="Times New Roman" w:hAnsi="Arial" w:cs="Arial"/>
          <w:i/>
          <w:color w:val="000000"/>
          <w:sz w:val="24"/>
          <w:szCs w:val="24"/>
          <w:lang w:eastAsia="es-ES"/>
        </w:rPr>
        <w:t>“La Novedad de Jesús: todos somos sacerdotes”.</w:t>
      </w:r>
      <w:r w:rsidRPr="002405AA">
        <w:rPr>
          <w:rFonts w:ascii="Arial" w:eastAsia="Times New Roman" w:hAnsi="Arial" w:cs="Arial"/>
          <w:color w:val="000000"/>
          <w:sz w:val="24"/>
          <w:szCs w:val="24"/>
          <w:lang w:eastAsia="es-ES"/>
        </w:rPr>
        <w:t xml:space="preserve"> </w:t>
      </w:r>
    </w:p>
    <w:p w14:paraId="3C906F87" w14:textId="77777777" w:rsidR="002405AA" w:rsidRPr="00212E16" w:rsidRDefault="002405AA" w:rsidP="002405AA">
      <w:pPr>
        <w:spacing w:line="480" w:lineRule="auto"/>
        <w:rPr>
          <w:rFonts w:ascii="Arial" w:eastAsia="Times New Roman" w:hAnsi="Arial" w:cs="Arial"/>
          <w:color w:val="000000"/>
          <w:kern w:val="36"/>
          <w:sz w:val="24"/>
          <w:szCs w:val="24"/>
          <w:lang w:eastAsia="es-ES"/>
        </w:rPr>
      </w:pPr>
      <w:r w:rsidRPr="00BA1568">
        <w:rPr>
          <w:rFonts w:ascii="Arial" w:eastAsia="Times New Roman" w:hAnsi="Arial" w:cs="Arial"/>
          <w:b/>
          <w:color w:val="000000"/>
          <w:sz w:val="32"/>
          <w:szCs w:val="32"/>
          <w:lang w:eastAsia="es-ES"/>
        </w:rPr>
        <w:t xml:space="preserve">Parte </w:t>
      </w:r>
      <w:r w:rsidRPr="00212E16">
        <w:rPr>
          <w:rFonts w:ascii="Arial" w:eastAsia="Times New Roman" w:hAnsi="Arial" w:cs="Arial"/>
          <w:b/>
          <w:color w:val="000000"/>
          <w:sz w:val="24"/>
          <w:szCs w:val="24"/>
          <w:lang w:eastAsia="es-ES"/>
        </w:rPr>
        <w:t>PRIMERA</w:t>
      </w:r>
      <w:r w:rsidRPr="00212E16">
        <w:rPr>
          <w:rFonts w:ascii="Arial" w:eastAsia="Times New Roman" w:hAnsi="Arial" w:cs="Arial"/>
          <w:color w:val="000000"/>
          <w:kern w:val="36"/>
          <w:sz w:val="24"/>
          <w:szCs w:val="24"/>
          <w:lang w:eastAsia="es-ES"/>
        </w:rPr>
        <w:t xml:space="preserve">  </w:t>
      </w:r>
    </w:p>
    <w:p w14:paraId="0C1363C4" w14:textId="77777777" w:rsidR="002405AA" w:rsidRPr="002768D6" w:rsidRDefault="002405AA" w:rsidP="002405AA">
      <w:pPr>
        <w:spacing w:after="0" w:line="240" w:lineRule="auto"/>
        <w:rPr>
          <w:rFonts w:ascii="Arial" w:eastAsia="Times New Roman" w:hAnsi="Arial" w:cs="Arial"/>
          <w:b/>
          <w:color w:val="000000"/>
          <w:sz w:val="24"/>
          <w:szCs w:val="24"/>
          <w:bdr w:val="none" w:sz="0" w:space="0" w:color="auto" w:frame="1"/>
          <w:lang w:eastAsia="es-ES"/>
        </w:rPr>
      </w:pPr>
      <w:r w:rsidRPr="002768D6">
        <w:rPr>
          <w:rFonts w:ascii="Arial" w:eastAsia="Times New Roman" w:hAnsi="Arial" w:cs="Arial"/>
          <w:b/>
          <w:color w:val="000000"/>
          <w:sz w:val="24"/>
          <w:szCs w:val="24"/>
          <w:bdr w:val="none" w:sz="0" w:space="0" w:color="auto" w:frame="1"/>
          <w:lang w:eastAsia="es-ES"/>
        </w:rPr>
        <w:t xml:space="preserve">1. </w:t>
      </w:r>
      <w:r>
        <w:rPr>
          <w:rFonts w:ascii="Arial" w:eastAsia="Times New Roman" w:hAnsi="Arial" w:cs="Arial"/>
          <w:b/>
          <w:color w:val="000000"/>
          <w:sz w:val="24"/>
          <w:szCs w:val="24"/>
          <w:bdr w:val="none" w:sz="0" w:space="0" w:color="auto" w:frame="1"/>
          <w:lang w:eastAsia="es-ES"/>
        </w:rPr>
        <w:t>Algunos textos del concilio  Vaticano II</w:t>
      </w:r>
    </w:p>
    <w:p w14:paraId="5EE701E2" w14:textId="77777777" w:rsidR="002405AA" w:rsidRDefault="002405AA" w:rsidP="002405AA">
      <w:pPr>
        <w:spacing w:after="0" w:line="240" w:lineRule="auto"/>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ab/>
        <w:t xml:space="preserve">Comienzo por destacar algunos textos que en el concilio Vaticano II proclaman no existir  en la Iglesia ninguna desigualdad. </w:t>
      </w:r>
      <w:r w:rsidRPr="00022B11">
        <w:rPr>
          <w:rFonts w:ascii="Arial" w:eastAsia="Times New Roman" w:hAnsi="Arial" w:cs="Arial"/>
          <w:color w:val="000000"/>
          <w:sz w:val="24"/>
          <w:szCs w:val="24"/>
          <w:bdr w:val="none" w:sz="0" w:space="0" w:color="auto" w:frame="1"/>
          <w:lang w:eastAsia="es-ES"/>
        </w:rPr>
        <w:t xml:space="preserve"> </w:t>
      </w:r>
    </w:p>
    <w:p w14:paraId="5F403755" w14:textId="77777777" w:rsidR="002405AA" w:rsidRPr="009752A6" w:rsidRDefault="002405AA" w:rsidP="002405AA">
      <w:pPr>
        <w:spacing w:after="0" w:line="240" w:lineRule="auto"/>
        <w:rPr>
          <w:rFonts w:ascii="Times New Roman" w:eastAsia="Times New Roman" w:hAnsi="Times New Roman" w:cs="Times New Roman"/>
          <w:sz w:val="24"/>
          <w:szCs w:val="24"/>
          <w:lang w:eastAsia="es-ES"/>
        </w:rPr>
      </w:pPr>
    </w:p>
    <w:p w14:paraId="3D9797DD" w14:textId="77777777" w:rsidR="002405AA" w:rsidRDefault="002405AA" w:rsidP="002405AA">
      <w:pPr>
        <w:pStyle w:val="Sinespaciado"/>
        <w:rPr>
          <w:bdr w:val="none" w:sz="0" w:space="0" w:color="auto" w:frame="1"/>
          <w:lang w:eastAsia="es-ES"/>
        </w:rPr>
      </w:pPr>
      <w:r>
        <w:rPr>
          <w:bdr w:val="none" w:sz="0" w:space="0" w:color="auto" w:frame="1"/>
          <w:lang w:eastAsia="es-ES"/>
        </w:rPr>
        <w:tab/>
      </w:r>
      <w:r>
        <w:rPr>
          <w:bdr w:val="none" w:sz="0" w:space="0" w:color="auto" w:frame="1"/>
          <w:lang w:eastAsia="es-ES"/>
        </w:rPr>
        <w:tab/>
      </w:r>
      <w:r w:rsidRPr="009752A6">
        <w:rPr>
          <w:bdr w:val="none" w:sz="0" w:space="0" w:color="auto" w:frame="1"/>
          <w:lang w:eastAsia="es-ES"/>
        </w:rPr>
        <w:t>“</w:t>
      </w:r>
      <w:r w:rsidRPr="002768D6">
        <w:rPr>
          <w:i/>
          <w:bdr w:val="none" w:sz="0" w:space="0" w:color="auto" w:frame="1"/>
          <w:lang w:eastAsia="es-ES"/>
        </w:rPr>
        <w:t xml:space="preserve">Los que creen en Cristo son hechos sacerdocio real”, (Lumen Gentium, 9), </w:t>
      </w:r>
      <w:r w:rsidRPr="002768D6">
        <w:rPr>
          <w:i/>
          <w:bdr w:val="none" w:sz="0" w:space="0" w:color="auto" w:frame="1"/>
          <w:lang w:eastAsia="es-ES"/>
        </w:rPr>
        <w:tab/>
      </w:r>
      <w:r w:rsidRPr="002768D6">
        <w:rPr>
          <w:i/>
          <w:bdr w:val="none" w:sz="0" w:space="0" w:color="auto" w:frame="1"/>
          <w:lang w:eastAsia="es-ES"/>
        </w:rPr>
        <w:tab/>
        <w:t xml:space="preserve">“Cristo hizo de su nuevo pueblo, reino y sacerdotes para Dios, sacerdocio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 xml:space="preserve">que ejercen con el testimonio de una vida santa, con la abnegación y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caridad operante” (</w:t>
      </w:r>
      <w:proofErr w:type="spellStart"/>
      <w:r w:rsidRPr="002768D6">
        <w:rPr>
          <w:i/>
          <w:bdr w:val="none" w:sz="0" w:space="0" w:color="auto" w:frame="1"/>
          <w:lang w:eastAsia="es-ES"/>
        </w:rPr>
        <w:t>Nº</w:t>
      </w:r>
      <w:proofErr w:type="spellEnd"/>
      <w:r w:rsidRPr="002768D6">
        <w:rPr>
          <w:i/>
          <w:bdr w:val="none" w:sz="0" w:space="0" w:color="auto" w:frame="1"/>
          <w:lang w:eastAsia="es-ES"/>
        </w:rPr>
        <w:t xml:space="preserve"> 10).</w:t>
      </w:r>
      <w:r>
        <w:rPr>
          <w:i/>
          <w:bdr w:val="none" w:sz="0" w:space="0" w:color="auto" w:frame="1"/>
          <w:lang w:eastAsia="es-ES"/>
        </w:rPr>
        <w:t xml:space="preserve"> </w:t>
      </w:r>
      <w:r w:rsidRPr="002768D6">
        <w:rPr>
          <w:i/>
          <w:bdr w:val="none" w:sz="0" w:space="0" w:color="auto" w:frame="1"/>
          <w:lang w:eastAsia="es-ES"/>
        </w:rPr>
        <w:t xml:space="preserve">“Ante Cristo y ante la Iglesia no existe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 xml:space="preserve">desigualdad alguna en razón de estirpe o nacimiento, condición social o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 xml:space="preserve">sexo, porque no hay judío ni griego; no hay siervo o libre; no hay varón ni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mujer. Pues todos sois Uno en Cristo Jesús” ….</w:t>
      </w:r>
      <w:r>
        <w:rPr>
          <w:i/>
          <w:bdr w:val="none" w:sz="0" w:space="0" w:color="auto" w:frame="1"/>
          <w:lang w:eastAsia="es-ES"/>
        </w:rPr>
        <w:t xml:space="preserve"> </w:t>
      </w:r>
      <w:r w:rsidRPr="002768D6">
        <w:rPr>
          <w:i/>
          <w:bdr w:val="none" w:sz="0" w:space="0" w:color="auto" w:frame="1"/>
          <w:lang w:eastAsia="es-ES"/>
        </w:rPr>
        <w:t xml:space="preserve">”Se da una verdadera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 xml:space="preserve">igualdad entre todos referente a la dignidad y acción común de todos los </w:t>
      </w:r>
      <w:r w:rsidRPr="002768D6">
        <w:rPr>
          <w:i/>
          <w:bdr w:val="none" w:sz="0" w:space="0" w:color="auto" w:frame="1"/>
          <w:lang w:eastAsia="es-ES"/>
        </w:rPr>
        <w:tab/>
      </w:r>
      <w:r w:rsidRPr="002768D6">
        <w:rPr>
          <w:i/>
          <w:bdr w:val="none" w:sz="0" w:space="0" w:color="auto" w:frame="1"/>
          <w:lang w:eastAsia="es-ES"/>
        </w:rPr>
        <w:tab/>
      </w:r>
      <w:r w:rsidRPr="002768D6">
        <w:rPr>
          <w:i/>
          <w:bdr w:val="none" w:sz="0" w:space="0" w:color="auto" w:frame="1"/>
          <w:lang w:eastAsia="es-ES"/>
        </w:rPr>
        <w:tab/>
        <w:t>fieles para la edificación del cuerpo de Cristo</w:t>
      </w:r>
      <w:r w:rsidRPr="009752A6">
        <w:rPr>
          <w:bdr w:val="none" w:sz="0" w:space="0" w:color="auto" w:frame="1"/>
          <w:lang w:eastAsia="es-ES"/>
        </w:rPr>
        <w:t xml:space="preserve"> “ (LG, 32).</w:t>
      </w:r>
    </w:p>
    <w:p w14:paraId="7BA9C6E8" w14:textId="77777777" w:rsidR="002405AA" w:rsidRDefault="002405AA" w:rsidP="002405AA">
      <w:pPr>
        <w:pStyle w:val="Sinespaciado"/>
        <w:rPr>
          <w:bdr w:val="none" w:sz="0" w:space="0" w:color="auto" w:frame="1"/>
          <w:lang w:eastAsia="es-ES"/>
        </w:rPr>
      </w:pPr>
      <w:r>
        <w:rPr>
          <w:bdr w:val="none" w:sz="0" w:space="0" w:color="auto" w:frame="1"/>
          <w:lang w:eastAsia="es-ES"/>
        </w:rPr>
        <w:t xml:space="preserve"> </w:t>
      </w:r>
    </w:p>
    <w:p w14:paraId="3B40B961" w14:textId="77777777" w:rsidR="002405AA" w:rsidRDefault="002405AA" w:rsidP="002405AA">
      <w:pPr>
        <w:ind w:left="-284"/>
        <w:rPr>
          <w:rFonts w:ascii="Verdana" w:hAnsi="Verdana"/>
          <w:b/>
          <w:sz w:val="24"/>
          <w:szCs w:val="24"/>
          <w:lang w:val="es-ES_tradnl"/>
        </w:rPr>
      </w:pPr>
      <w:r>
        <w:rPr>
          <w:rFonts w:ascii="Verdana" w:hAnsi="Verdana"/>
          <w:b/>
          <w:sz w:val="24"/>
          <w:szCs w:val="24"/>
          <w:lang w:val="es-ES_tradnl"/>
        </w:rPr>
        <w:t xml:space="preserve">2. Jesús  no excluyó a las mujeres del ministerio ordenado. La prohibición es ajena a la Escritura y  no es una verdad revelada. </w:t>
      </w:r>
    </w:p>
    <w:p w14:paraId="3D1484E5" w14:textId="77777777" w:rsidR="002405AA" w:rsidRDefault="002405AA" w:rsidP="002405AA">
      <w:pPr>
        <w:ind w:left="-284"/>
        <w:jc w:val="both"/>
        <w:rPr>
          <w:rFonts w:ascii="Verdana" w:hAnsi="Verdana"/>
          <w:sz w:val="24"/>
          <w:szCs w:val="24"/>
          <w:lang w:val="es-ES_tradnl"/>
        </w:rPr>
      </w:pPr>
      <w:r>
        <w:rPr>
          <w:rFonts w:ascii="Verdana" w:hAnsi="Verdana"/>
          <w:b/>
          <w:sz w:val="24"/>
          <w:szCs w:val="24"/>
          <w:lang w:val="es-ES_tradnl"/>
        </w:rPr>
        <w:tab/>
      </w:r>
      <w:r>
        <w:rPr>
          <w:rFonts w:ascii="Verdana" w:hAnsi="Verdana"/>
          <w:b/>
          <w:sz w:val="24"/>
          <w:szCs w:val="24"/>
          <w:lang w:val="es-ES_tradnl"/>
        </w:rPr>
        <w:tab/>
        <w:t>E</w:t>
      </w:r>
      <w:r w:rsidRPr="00AC590D">
        <w:rPr>
          <w:rFonts w:ascii="Verdana" w:hAnsi="Verdana"/>
          <w:sz w:val="24"/>
          <w:szCs w:val="24"/>
          <w:lang w:val="es-ES_tradnl"/>
        </w:rPr>
        <w:t>ste es un tema que hace tiempo nos inter</w:t>
      </w:r>
      <w:r>
        <w:rPr>
          <w:rFonts w:ascii="Verdana" w:hAnsi="Verdana"/>
          <w:sz w:val="24"/>
          <w:szCs w:val="24"/>
          <w:lang w:val="es-ES_tradnl"/>
        </w:rPr>
        <w:t>p</w:t>
      </w:r>
      <w:r w:rsidRPr="00AC590D">
        <w:rPr>
          <w:rFonts w:ascii="Verdana" w:hAnsi="Verdana"/>
          <w:sz w:val="24"/>
          <w:szCs w:val="24"/>
          <w:lang w:val="es-ES_tradnl"/>
        </w:rPr>
        <w:t>ela.</w:t>
      </w:r>
      <w:r>
        <w:rPr>
          <w:rFonts w:ascii="Verdana" w:hAnsi="Verdana"/>
          <w:sz w:val="24"/>
          <w:szCs w:val="24"/>
          <w:lang w:val="es-ES_tradnl"/>
        </w:rPr>
        <w:t xml:space="preserve"> </w:t>
      </w:r>
      <w:r w:rsidRPr="00AC590D">
        <w:rPr>
          <w:rFonts w:ascii="Verdana" w:hAnsi="Verdana"/>
          <w:sz w:val="24"/>
          <w:szCs w:val="24"/>
          <w:lang w:val="es-ES_tradnl"/>
        </w:rPr>
        <w:t>Debiera</w:t>
      </w:r>
      <w:r>
        <w:rPr>
          <w:rFonts w:ascii="Verdana" w:hAnsi="Verdana"/>
          <w:sz w:val="24"/>
          <w:szCs w:val="24"/>
          <w:lang w:val="es-ES_tradnl"/>
        </w:rPr>
        <w:t xml:space="preserve"> haberse abordado con prudencia pero sin miedo, porque  está ahí reclamando </w:t>
      </w:r>
      <w:r>
        <w:rPr>
          <w:rFonts w:ascii="Verdana" w:hAnsi="Verdana"/>
          <w:sz w:val="24"/>
          <w:szCs w:val="24"/>
          <w:lang w:val="es-ES_tradnl"/>
        </w:rPr>
        <w:lastRenderedPageBreak/>
        <w:t>solución desde  hace mucho tiempo. Y el cambio que se pide no sólo  es posible, sino necesario y legítimo.</w:t>
      </w:r>
    </w:p>
    <w:p w14:paraId="573B2A0B" w14:textId="77777777" w:rsidR="002405AA" w:rsidRPr="006A01AB" w:rsidRDefault="002405AA" w:rsidP="002405AA">
      <w:pPr>
        <w:ind w:left="-284"/>
        <w:jc w:val="both"/>
        <w:rPr>
          <w:rFonts w:ascii="Verdana" w:hAnsi="Verdana"/>
          <w:sz w:val="24"/>
          <w:szCs w:val="24"/>
          <w:lang w:val="es-ES_tradnl"/>
        </w:rPr>
      </w:pPr>
      <w:r>
        <w:rPr>
          <w:rFonts w:ascii="Verdana" w:hAnsi="Verdana"/>
          <w:sz w:val="24"/>
          <w:szCs w:val="24"/>
          <w:lang w:val="es-ES_tradnl"/>
        </w:rPr>
        <w:tab/>
        <w:t xml:space="preserve">¿Por qué no se ha hecho? </w:t>
      </w:r>
      <w:r w:rsidRPr="0044288C">
        <w:rPr>
          <w:rFonts w:ascii="Verdana" w:hAnsi="Verdana"/>
          <w:sz w:val="24"/>
          <w:szCs w:val="24"/>
          <w:lang w:val="es-ES_tradnl"/>
        </w:rPr>
        <w:t>En la I</w:t>
      </w:r>
      <w:r w:rsidRPr="006A01AB">
        <w:rPr>
          <w:rFonts w:ascii="Verdana" w:hAnsi="Verdana"/>
          <w:sz w:val="24"/>
          <w:szCs w:val="24"/>
          <w:lang w:val="es-ES_tradnl"/>
        </w:rPr>
        <w:t xml:space="preserve">glesia católica </w:t>
      </w:r>
      <w:r>
        <w:rPr>
          <w:rFonts w:ascii="Verdana" w:hAnsi="Verdana"/>
          <w:sz w:val="24"/>
          <w:szCs w:val="24"/>
          <w:lang w:val="es-ES_tradnl"/>
        </w:rPr>
        <w:t>ha contado más la autoridad y la obediencia que e</w:t>
      </w:r>
      <w:r w:rsidRPr="006A01AB">
        <w:rPr>
          <w:rFonts w:ascii="Verdana" w:hAnsi="Verdana"/>
          <w:sz w:val="24"/>
          <w:szCs w:val="24"/>
          <w:lang w:val="es-ES_tradnl"/>
        </w:rPr>
        <w:t>l pensamiento y la libertad</w:t>
      </w:r>
      <w:r>
        <w:rPr>
          <w:rFonts w:ascii="Verdana" w:hAnsi="Verdana"/>
          <w:sz w:val="24"/>
          <w:szCs w:val="24"/>
          <w:lang w:val="es-ES_tradnl"/>
        </w:rPr>
        <w:t xml:space="preserve">. En ella ha prevalecido el poder, </w:t>
      </w:r>
      <w:r w:rsidRPr="006A01AB">
        <w:rPr>
          <w:rFonts w:ascii="Verdana" w:hAnsi="Verdana"/>
          <w:sz w:val="24"/>
          <w:szCs w:val="24"/>
          <w:lang w:val="es-ES_tradnl"/>
        </w:rPr>
        <w:t xml:space="preserve"> un poder concentrado en el clero,  que asegura la adhesión y la  sumisión más que la  crítica, el pensamiento y la libertad. Cambiar supone renovar</w:t>
      </w:r>
      <w:r>
        <w:rPr>
          <w:rFonts w:ascii="Verdana" w:hAnsi="Verdana"/>
          <w:sz w:val="24"/>
          <w:szCs w:val="24"/>
          <w:lang w:val="es-ES_tradnl"/>
        </w:rPr>
        <w:t>,</w:t>
      </w:r>
      <w:r w:rsidRPr="006A01AB">
        <w:rPr>
          <w:rFonts w:ascii="Verdana" w:hAnsi="Verdana"/>
          <w:sz w:val="24"/>
          <w:szCs w:val="24"/>
          <w:lang w:val="es-ES_tradnl"/>
        </w:rPr>
        <w:t xml:space="preserve"> y renovar supone avanzar</w:t>
      </w:r>
      <w:r>
        <w:rPr>
          <w:rFonts w:ascii="Verdana" w:hAnsi="Verdana"/>
          <w:sz w:val="24"/>
          <w:szCs w:val="24"/>
          <w:lang w:val="es-ES_tradnl"/>
        </w:rPr>
        <w:t>. Pero esto es lo que el poder obstruye alegando que no puede traicionar la verdad, sofisma  que encubre  ignorancia y privilegios adquiridos, a costa naturalmente de maldecir la  necesaria renovación.</w:t>
      </w:r>
      <w:r w:rsidRPr="006A01AB">
        <w:rPr>
          <w:rFonts w:ascii="Verdana" w:hAnsi="Verdana"/>
          <w:sz w:val="24"/>
          <w:szCs w:val="24"/>
          <w:lang w:val="es-ES_tradnl"/>
        </w:rPr>
        <w:t xml:space="preserve"> </w:t>
      </w:r>
    </w:p>
    <w:p w14:paraId="13C8D492" w14:textId="77777777" w:rsidR="002405AA" w:rsidRDefault="002405AA" w:rsidP="002405AA">
      <w:pPr>
        <w:ind w:left="-284"/>
        <w:jc w:val="both"/>
        <w:rPr>
          <w:rFonts w:ascii="Verdana" w:hAnsi="Verdana"/>
          <w:sz w:val="24"/>
          <w:szCs w:val="24"/>
          <w:lang w:val="es-ES_tradnl"/>
        </w:rPr>
      </w:pPr>
      <w:r>
        <w:rPr>
          <w:rFonts w:ascii="Verdana" w:hAnsi="Verdana"/>
          <w:b/>
          <w:sz w:val="24"/>
          <w:szCs w:val="24"/>
          <w:lang w:val="es-ES_tradnl"/>
        </w:rPr>
        <w:tab/>
        <w:t xml:space="preserve"> </w:t>
      </w:r>
      <w:r w:rsidRPr="002425B6">
        <w:rPr>
          <w:rFonts w:ascii="Verdana" w:hAnsi="Verdana"/>
          <w:sz w:val="24"/>
          <w:szCs w:val="24"/>
          <w:lang w:val="es-ES_tradnl"/>
        </w:rPr>
        <w:t>No se debe minusvalorar la resistencia a esta renovación.</w:t>
      </w:r>
      <w:r>
        <w:rPr>
          <w:rFonts w:ascii="Verdana" w:hAnsi="Verdana"/>
          <w:sz w:val="24"/>
          <w:szCs w:val="24"/>
          <w:lang w:val="es-ES_tradnl"/>
        </w:rPr>
        <w:t xml:space="preserve"> </w:t>
      </w:r>
      <w:r w:rsidRPr="00F358DC">
        <w:rPr>
          <w:rFonts w:ascii="Verdana" w:hAnsi="Verdana"/>
          <w:sz w:val="24"/>
          <w:szCs w:val="24"/>
          <w:lang w:val="es-ES_tradnl"/>
        </w:rPr>
        <w:t>Tenemos un  pueblo fiel, poco hecho para opinar, dialogar y obrar con  libertad. Se nos enseñó a obedecer más que a pensar.</w:t>
      </w:r>
    </w:p>
    <w:p w14:paraId="1A8FA016" w14:textId="77777777" w:rsidR="002405AA" w:rsidRPr="00F358DC" w:rsidRDefault="002405AA" w:rsidP="002405AA">
      <w:pPr>
        <w:ind w:left="-284"/>
        <w:jc w:val="both"/>
        <w:rPr>
          <w:rFonts w:ascii="Verdana" w:hAnsi="Verdana"/>
          <w:sz w:val="24"/>
          <w:szCs w:val="24"/>
          <w:lang w:val="es-ES_tradnl"/>
        </w:rPr>
      </w:pPr>
      <w:r>
        <w:rPr>
          <w:rFonts w:ascii="Verdana" w:hAnsi="Verdana"/>
          <w:sz w:val="24"/>
          <w:szCs w:val="24"/>
          <w:lang w:val="es-ES_tradnl"/>
        </w:rPr>
        <w:tab/>
      </w:r>
      <w:r w:rsidRPr="00F358DC">
        <w:rPr>
          <w:rFonts w:ascii="Verdana" w:hAnsi="Verdana"/>
          <w:sz w:val="24"/>
          <w:szCs w:val="24"/>
          <w:lang w:val="es-ES_tradnl"/>
        </w:rPr>
        <w:t xml:space="preserve"> Y esto explica nuestra rutina, nuestro ritualismo, nuestra falta de creatividad,  nuestra desconexión con la ciencia y </w:t>
      </w:r>
      <w:r>
        <w:rPr>
          <w:rFonts w:ascii="Verdana" w:hAnsi="Verdana"/>
          <w:sz w:val="24"/>
          <w:szCs w:val="24"/>
          <w:lang w:val="es-ES_tradnl"/>
        </w:rPr>
        <w:t xml:space="preserve">la </w:t>
      </w:r>
      <w:r w:rsidRPr="00F358DC">
        <w:rPr>
          <w:rFonts w:ascii="Verdana" w:hAnsi="Verdana"/>
          <w:sz w:val="24"/>
          <w:szCs w:val="24"/>
          <w:lang w:val="es-ES_tradnl"/>
        </w:rPr>
        <w:t xml:space="preserve">cultura modernas. </w:t>
      </w:r>
      <w:r>
        <w:rPr>
          <w:rFonts w:ascii="Verdana" w:hAnsi="Verdana"/>
          <w:sz w:val="24"/>
          <w:szCs w:val="24"/>
          <w:lang w:val="es-ES_tradnl"/>
        </w:rPr>
        <w:t>No pocas veces h</w:t>
      </w:r>
      <w:r w:rsidRPr="00F358DC">
        <w:rPr>
          <w:rFonts w:ascii="Verdana" w:hAnsi="Verdana"/>
          <w:sz w:val="24"/>
          <w:szCs w:val="24"/>
          <w:lang w:val="es-ES_tradnl"/>
        </w:rPr>
        <w:t xml:space="preserve">ablamos de doctrinas </w:t>
      </w:r>
      <w:r>
        <w:rPr>
          <w:rFonts w:ascii="Verdana" w:hAnsi="Verdana"/>
          <w:sz w:val="24"/>
          <w:szCs w:val="24"/>
          <w:lang w:val="es-ES_tradnl"/>
        </w:rPr>
        <w:t xml:space="preserve">heredadas en </w:t>
      </w:r>
      <w:r w:rsidRPr="00F358DC">
        <w:rPr>
          <w:rFonts w:ascii="Verdana" w:hAnsi="Verdana"/>
          <w:sz w:val="24"/>
          <w:szCs w:val="24"/>
          <w:lang w:val="es-ES_tradnl"/>
        </w:rPr>
        <w:t>conceptos y lenguaje</w:t>
      </w:r>
      <w:r>
        <w:rPr>
          <w:rFonts w:ascii="Verdana" w:hAnsi="Verdana"/>
          <w:sz w:val="24"/>
          <w:szCs w:val="24"/>
          <w:lang w:val="es-ES_tradnl"/>
        </w:rPr>
        <w:t xml:space="preserve"> ajenos al </w:t>
      </w:r>
      <w:r w:rsidRPr="00F358DC">
        <w:rPr>
          <w:rFonts w:ascii="Verdana" w:hAnsi="Verdana"/>
          <w:sz w:val="24"/>
          <w:szCs w:val="24"/>
          <w:lang w:val="es-ES_tradnl"/>
        </w:rPr>
        <w:t xml:space="preserve"> conocimiento</w:t>
      </w:r>
      <w:r>
        <w:rPr>
          <w:rFonts w:ascii="Verdana" w:hAnsi="Verdana"/>
          <w:sz w:val="24"/>
          <w:szCs w:val="24"/>
          <w:lang w:val="es-ES_tradnl"/>
        </w:rPr>
        <w:t xml:space="preserve"> y pensamiento </w:t>
      </w:r>
      <w:r w:rsidRPr="00F358DC">
        <w:rPr>
          <w:rFonts w:ascii="Verdana" w:hAnsi="Verdana"/>
          <w:sz w:val="24"/>
          <w:szCs w:val="24"/>
          <w:lang w:val="es-ES_tradnl"/>
        </w:rPr>
        <w:t xml:space="preserve">  moderno</w:t>
      </w:r>
      <w:r>
        <w:rPr>
          <w:rFonts w:ascii="Verdana" w:hAnsi="Verdana"/>
          <w:sz w:val="24"/>
          <w:szCs w:val="24"/>
          <w:lang w:val="es-ES_tradnl"/>
        </w:rPr>
        <w:t>s</w:t>
      </w:r>
      <w:r w:rsidRPr="00F358DC">
        <w:rPr>
          <w:rFonts w:ascii="Verdana" w:hAnsi="Verdana"/>
          <w:sz w:val="24"/>
          <w:szCs w:val="24"/>
          <w:lang w:val="es-ES_tradnl"/>
        </w:rPr>
        <w:t xml:space="preserve">.  </w:t>
      </w:r>
    </w:p>
    <w:p w14:paraId="12FD2491" w14:textId="77777777" w:rsidR="002405AA" w:rsidRPr="006A1D9D" w:rsidRDefault="002405AA" w:rsidP="002405AA">
      <w:pPr>
        <w:ind w:left="-284"/>
        <w:jc w:val="both"/>
        <w:rPr>
          <w:rFonts w:ascii="Verdana" w:hAnsi="Verdana"/>
          <w:sz w:val="24"/>
          <w:szCs w:val="24"/>
          <w:lang w:val="es-ES_tradnl"/>
        </w:rPr>
      </w:pPr>
      <w:r>
        <w:rPr>
          <w:rFonts w:ascii="Verdana" w:hAnsi="Verdana"/>
          <w:sz w:val="24"/>
          <w:szCs w:val="24"/>
          <w:lang w:val="es-ES_tradnl"/>
        </w:rPr>
        <w:tab/>
        <w:t xml:space="preserve">  Esto no obstante, está abierto el camino que nos llevará a  conseguir esta igualdad de la mujer,  si somos capaces de mantener   abierta la puerta al pensar, al debate, al diálogo. </w:t>
      </w:r>
      <w:r w:rsidRPr="006A1D9D">
        <w:rPr>
          <w:rFonts w:ascii="Verdana" w:hAnsi="Verdana"/>
          <w:sz w:val="24"/>
          <w:szCs w:val="24"/>
          <w:lang w:val="es-ES_tradnl"/>
        </w:rPr>
        <w:t xml:space="preserve">Hay que </w:t>
      </w:r>
      <w:r w:rsidRPr="005E470D">
        <w:rPr>
          <w:rFonts w:ascii="Verdana" w:hAnsi="Verdana"/>
          <w:sz w:val="24"/>
          <w:szCs w:val="24"/>
          <w:lang w:val="es-ES_tradnl"/>
        </w:rPr>
        <w:t xml:space="preserve">reemplazar el binomio del pasado: </w:t>
      </w:r>
      <w:r w:rsidRPr="005E470D">
        <w:rPr>
          <w:rFonts w:ascii="Verdana" w:hAnsi="Verdana"/>
          <w:i/>
          <w:sz w:val="24"/>
          <w:szCs w:val="24"/>
          <w:lang w:val="es-ES_tradnl"/>
        </w:rPr>
        <w:t xml:space="preserve">Iglesia docente </w:t>
      </w:r>
      <w:r w:rsidRPr="00744A89">
        <w:rPr>
          <w:rFonts w:ascii="Verdana" w:hAnsi="Verdana"/>
          <w:sz w:val="24"/>
          <w:szCs w:val="24"/>
          <w:lang w:val="es-ES_tradnl"/>
        </w:rPr>
        <w:t xml:space="preserve">(jerarquía) </w:t>
      </w:r>
      <w:r w:rsidRPr="005E470D">
        <w:rPr>
          <w:rFonts w:ascii="Verdana" w:hAnsi="Verdana"/>
          <w:i/>
          <w:sz w:val="24"/>
          <w:szCs w:val="24"/>
          <w:lang w:val="es-ES_tradnl"/>
        </w:rPr>
        <w:t xml:space="preserve">e Iglesia </w:t>
      </w:r>
      <w:r w:rsidRPr="0031603D">
        <w:rPr>
          <w:rFonts w:ascii="Verdana" w:hAnsi="Verdana"/>
          <w:i/>
          <w:sz w:val="24"/>
          <w:szCs w:val="24"/>
          <w:lang w:val="es-ES_tradnl"/>
        </w:rPr>
        <w:t>discente</w:t>
      </w:r>
      <w:r w:rsidRPr="006A1D9D">
        <w:rPr>
          <w:rFonts w:ascii="Verdana" w:hAnsi="Verdana"/>
          <w:sz w:val="24"/>
          <w:szCs w:val="24"/>
          <w:lang w:val="es-ES_tradnl"/>
        </w:rPr>
        <w:t xml:space="preserve"> (pueblo)</w:t>
      </w:r>
      <w:r>
        <w:rPr>
          <w:rFonts w:ascii="Verdana" w:hAnsi="Verdana"/>
          <w:sz w:val="24"/>
          <w:szCs w:val="24"/>
          <w:lang w:val="es-ES_tradnl"/>
        </w:rPr>
        <w:t>.</w:t>
      </w:r>
      <w:r w:rsidRPr="006A1D9D">
        <w:rPr>
          <w:rFonts w:ascii="Verdana" w:hAnsi="Verdana"/>
          <w:sz w:val="24"/>
          <w:szCs w:val="24"/>
          <w:lang w:val="es-ES_tradnl"/>
        </w:rPr>
        <w:t xml:space="preserve"> El pueblo es sujeto no objeto, la Iglesia es </w:t>
      </w:r>
      <w:r w:rsidRPr="0031603D">
        <w:rPr>
          <w:rFonts w:ascii="Verdana" w:hAnsi="Verdana"/>
          <w:i/>
          <w:sz w:val="24"/>
          <w:szCs w:val="24"/>
          <w:lang w:val="es-ES_tradnl"/>
        </w:rPr>
        <w:t>toda ella discente</w:t>
      </w:r>
      <w:r>
        <w:rPr>
          <w:rFonts w:ascii="Verdana" w:hAnsi="Verdana"/>
          <w:sz w:val="24"/>
          <w:szCs w:val="24"/>
          <w:lang w:val="es-ES_tradnl"/>
        </w:rPr>
        <w:t>,  discípula</w:t>
      </w:r>
      <w:r w:rsidRPr="006A1D9D">
        <w:rPr>
          <w:rFonts w:ascii="Verdana" w:hAnsi="Verdana"/>
          <w:sz w:val="24"/>
          <w:szCs w:val="24"/>
          <w:lang w:val="es-ES_tradnl"/>
        </w:rPr>
        <w:t xml:space="preserve">, seguidora de Jesús, obedientes todos al  Evangelio, desde el Papa hasta el último de los fieles.  </w:t>
      </w:r>
    </w:p>
    <w:p w14:paraId="14708779" w14:textId="77777777" w:rsidR="002405AA" w:rsidRDefault="002405AA" w:rsidP="002405AA">
      <w:pPr>
        <w:ind w:left="-284"/>
        <w:jc w:val="both"/>
        <w:rPr>
          <w:rFonts w:ascii="Verdana" w:hAnsi="Verdana"/>
          <w:sz w:val="24"/>
          <w:szCs w:val="24"/>
          <w:lang w:val="es-ES_tradnl"/>
        </w:rPr>
      </w:pPr>
      <w:r>
        <w:rPr>
          <w:rFonts w:ascii="Verdana" w:hAnsi="Verdana"/>
          <w:sz w:val="24"/>
          <w:szCs w:val="24"/>
          <w:lang w:val="es-ES_tradnl"/>
        </w:rPr>
        <w:tab/>
      </w:r>
      <w:r>
        <w:rPr>
          <w:rFonts w:ascii="Verdana" w:hAnsi="Verdana"/>
          <w:sz w:val="24"/>
          <w:szCs w:val="24"/>
          <w:lang w:val="es-ES_tradnl"/>
        </w:rPr>
        <w:tab/>
        <w:t xml:space="preserve">Ciertamente, esta es una puerta cerrada desde hace muchos siglos. ¿Seguirá cerrada en el futuro? No sabemos hasta cuándo, pero es cierto que esta práctica “no forma parte de la constitución divina de la Iglesia”. </w:t>
      </w:r>
    </w:p>
    <w:p w14:paraId="3C09FAA9" w14:textId="77777777" w:rsidR="002405AA" w:rsidRDefault="002405AA" w:rsidP="002405AA">
      <w:pPr>
        <w:ind w:left="-284"/>
        <w:jc w:val="both"/>
        <w:rPr>
          <w:rFonts w:ascii="Verdana" w:hAnsi="Verdana"/>
          <w:sz w:val="24"/>
          <w:szCs w:val="24"/>
          <w:lang w:val="es-ES_tradnl"/>
        </w:rPr>
      </w:pPr>
      <w:r>
        <w:rPr>
          <w:rFonts w:ascii="Verdana" w:hAnsi="Verdana"/>
          <w:sz w:val="24"/>
          <w:szCs w:val="24"/>
          <w:lang w:val="es-ES_tradnl"/>
        </w:rPr>
        <w:tab/>
      </w:r>
      <w:r>
        <w:rPr>
          <w:rFonts w:ascii="Verdana" w:hAnsi="Verdana"/>
          <w:sz w:val="24"/>
          <w:szCs w:val="24"/>
          <w:lang w:val="es-ES_tradnl"/>
        </w:rPr>
        <w:tab/>
        <w:t>Es preciso recordar que el Papa Juan Pablo II quiso zanjar definitivamente esta cuestión  entre los fieles de la Iglesia católica. Pero, de inmediato, fueron muchos los teólogos que le replicaron  ser esta su declaración (</w:t>
      </w:r>
      <w:r w:rsidRPr="00502051">
        <w:rPr>
          <w:rFonts w:ascii="Verdana" w:hAnsi="Verdana"/>
          <w:sz w:val="24"/>
          <w:szCs w:val="24"/>
          <w:lang w:val="es-ES_tradnl"/>
        </w:rPr>
        <w:t>Carta</w:t>
      </w:r>
      <w:r w:rsidRPr="006064F2">
        <w:rPr>
          <w:rFonts w:ascii="Verdana" w:hAnsi="Verdana"/>
          <w:i/>
          <w:sz w:val="24"/>
          <w:szCs w:val="24"/>
          <w:lang w:val="es-ES_tradnl"/>
        </w:rPr>
        <w:t xml:space="preserve"> Inter </w:t>
      </w:r>
      <w:proofErr w:type="spellStart"/>
      <w:r>
        <w:rPr>
          <w:rFonts w:ascii="Verdana" w:hAnsi="Verdana"/>
          <w:i/>
          <w:sz w:val="24"/>
          <w:szCs w:val="24"/>
          <w:lang w:val="es-ES_tradnl"/>
        </w:rPr>
        <w:t>S</w:t>
      </w:r>
      <w:r w:rsidRPr="006064F2">
        <w:rPr>
          <w:rFonts w:ascii="Verdana" w:hAnsi="Verdana"/>
          <w:i/>
          <w:sz w:val="24"/>
          <w:szCs w:val="24"/>
          <w:lang w:val="es-ES_tradnl"/>
        </w:rPr>
        <w:t>igniores</w:t>
      </w:r>
      <w:proofErr w:type="spellEnd"/>
      <w:r w:rsidRPr="006064F2">
        <w:rPr>
          <w:rFonts w:ascii="Verdana" w:hAnsi="Verdana"/>
          <w:i/>
          <w:sz w:val="24"/>
          <w:szCs w:val="24"/>
          <w:lang w:val="es-ES_tradnl"/>
        </w:rPr>
        <w:t xml:space="preserve"> -1976)</w:t>
      </w:r>
      <w:r>
        <w:rPr>
          <w:rFonts w:ascii="Verdana" w:hAnsi="Verdana"/>
          <w:i/>
          <w:sz w:val="24"/>
          <w:szCs w:val="24"/>
          <w:lang w:val="es-ES_tradnl"/>
        </w:rPr>
        <w:t xml:space="preserve"> </w:t>
      </w:r>
      <w:r w:rsidRPr="006064F2">
        <w:rPr>
          <w:rFonts w:ascii="Verdana" w:hAnsi="Verdana"/>
          <w:sz w:val="24"/>
          <w:szCs w:val="24"/>
          <w:lang w:val="es-ES_tradnl"/>
        </w:rPr>
        <w:t xml:space="preserve">una doctrina ajena a la Escritura y una verdad no revelada. </w:t>
      </w:r>
    </w:p>
    <w:p w14:paraId="65E1E6BB" w14:textId="77777777" w:rsidR="002405AA" w:rsidRDefault="002405AA" w:rsidP="002405AA">
      <w:pPr>
        <w:ind w:left="-284"/>
        <w:jc w:val="both"/>
        <w:rPr>
          <w:rFonts w:ascii="Verdana" w:hAnsi="Verdana"/>
          <w:sz w:val="24"/>
          <w:szCs w:val="24"/>
          <w:lang w:val="es-ES_tradnl"/>
        </w:rPr>
      </w:pPr>
      <w:r>
        <w:rPr>
          <w:rFonts w:ascii="Verdana" w:hAnsi="Verdana"/>
          <w:sz w:val="24"/>
          <w:szCs w:val="24"/>
          <w:lang w:val="es-ES_tradnl"/>
        </w:rPr>
        <w:tab/>
      </w:r>
      <w:r>
        <w:rPr>
          <w:rFonts w:ascii="Verdana" w:hAnsi="Verdana"/>
          <w:sz w:val="24"/>
          <w:szCs w:val="24"/>
          <w:lang w:val="es-ES_tradnl"/>
        </w:rPr>
        <w:tab/>
        <w:t xml:space="preserve">En la acción de Jesús de  elegir entonces únicamente a varones no va incluida su voluntad de excluirlas para siempre. Sería una discriminación grave, que nadie  puede demostrar  desde  un estudio riguroso de la Sagrada Escritura y de la Tradición de la iglesia.  No existe ningún argumento. </w:t>
      </w:r>
    </w:p>
    <w:p w14:paraId="265D7CC3" w14:textId="77777777" w:rsidR="002405AA" w:rsidRDefault="002405AA" w:rsidP="002405AA">
      <w:pPr>
        <w:ind w:left="-284"/>
        <w:jc w:val="both"/>
        <w:rPr>
          <w:rFonts w:ascii="Verdana" w:hAnsi="Verdana"/>
          <w:i/>
          <w:sz w:val="24"/>
          <w:szCs w:val="24"/>
          <w:lang w:val="es-ES_tradnl"/>
        </w:rPr>
      </w:pPr>
      <w:r>
        <w:rPr>
          <w:rFonts w:ascii="Verdana" w:hAnsi="Verdana"/>
          <w:sz w:val="24"/>
          <w:szCs w:val="24"/>
          <w:lang w:val="es-ES_tradnl"/>
        </w:rPr>
        <w:tab/>
        <w:t>Y pretender mantener la exclusión, diciendo que el sacerdote representa a Cristo varón y  que la mujer  es un ser inferior, incapaz e impuro para representarlo, es no sólo inadmisible sino vergonzoso y sonrojarte: “</w:t>
      </w:r>
      <w:r w:rsidRPr="00D2340B">
        <w:rPr>
          <w:rFonts w:ascii="Verdana" w:hAnsi="Verdana"/>
          <w:i/>
          <w:sz w:val="24"/>
          <w:szCs w:val="24"/>
          <w:lang w:val="es-ES_tradnl"/>
        </w:rPr>
        <w:t xml:space="preserve">Una decisión del Papa no puede convertir en palabra revelada lo que realmente no lo es . Es un anacronismo  invocar el ejemplo de Cristo  o de los apóstoles para  deducir que se trata de  una verdad que pertenece al </w:t>
      </w:r>
      <w:proofErr w:type="spellStart"/>
      <w:r w:rsidRPr="00D2340B">
        <w:rPr>
          <w:rFonts w:ascii="Verdana" w:hAnsi="Verdana"/>
          <w:i/>
          <w:sz w:val="24"/>
          <w:szCs w:val="24"/>
          <w:lang w:val="es-ES_tradnl"/>
        </w:rPr>
        <w:t>depositum</w:t>
      </w:r>
      <w:proofErr w:type="spellEnd"/>
      <w:r w:rsidRPr="00D2340B">
        <w:rPr>
          <w:rFonts w:ascii="Verdana" w:hAnsi="Verdana"/>
          <w:i/>
          <w:sz w:val="24"/>
          <w:szCs w:val="24"/>
          <w:lang w:val="es-ES_tradnl"/>
        </w:rPr>
        <w:t xml:space="preserve"> </w:t>
      </w:r>
      <w:proofErr w:type="spellStart"/>
      <w:r w:rsidRPr="00D2340B">
        <w:rPr>
          <w:rFonts w:ascii="Verdana" w:hAnsi="Verdana"/>
          <w:i/>
          <w:sz w:val="24"/>
          <w:szCs w:val="24"/>
          <w:lang w:val="es-ES_tradnl"/>
        </w:rPr>
        <w:t>fidei</w:t>
      </w:r>
      <w:proofErr w:type="spellEnd"/>
      <w:r w:rsidRPr="00D2340B">
        <w:rPr>
          <w:rFonts w:ascii="Verdana" w:hAnsi="Verdana"/>
          <w:i/>
          <w:sz w:val="24"/>
          <w:szCs w:val="24"/>
          <w:lang w:val="es-ES_tradnl"/>
        </w:rPr>
        <w:t>… Que Roma no se limite a proclamar verdades  y dar órdenes. Es necesario escuchar lo que otros dicen</w:t>
      </w:r>
      <w:r>
        <w:rPr>
          <w:rFonts w:ascii="Verdana" w:hAnsi="Verdana"/>
          <w:i/>
          <w:sz w:val="24"/>
          <w:szCs w:val="24"/>
          <w:lang w:val="es-ES_tradnl"/>
        </w:rPr>
        <w:t>”  (</w:t>
      </w:r>
      <w:r w:rsidRPr="0006695D">
        <w:rPr>
          <w:rFonts w:ascii="Verdana" w:hAnsi="Verdana"/>
          <w:sz w:val="24"/>
          <w:szCs w:val="24"/>
          <w:lang w:val="es-ES_tradnl"/>
        </w:rPr>
        <w:t>Domiciano Fernández</w:t>
      </w:r>
      <w:r>
        <w:rPr>
          <w:rFonts w:ascii="Verdana" w:hAnsi="Verdana"/>
          <w:i/>
          <w:sz w:val="24"/>
          <w:szCs w:val="24"/>
          <w:lang w:val="es-ES_tradnl"/>
        </w:rPr>
        <w:t>,  Ministerios de la mujer en la Iglesia,</w:t>
      </w:r>
      <w:r w:rsidRPr="0006695D">
        <w:rPr>
          <w:rFonts w:ascii="Verdana" w:hAnsi="Verdana"/>
          <w:sz w:val="24"/>
          <w:szCs w:val="24"/>
          <w:lang w:val="es-ES_tradnl"/>
        </w:rPr>
        <w:t xml:space="preserve"> Nueva Utop</w:t>
      </w:r>
      <w:r>
        <w:rPr>
          <w:rFonts w:ascii="Verdana" w:hAnsi="Verdana"/>
          <w:sz w:val="24"/>
          <w:szCs w:val="24"/>
          <w:lang w:val="es-ES_tradnl"/>
        </w:rPr>
        <w:t>í</w:t>
      </w:r>
      <w:r w:rsidRPr="0006695D">
        <w:rPr>
          <w:rFonts w:ascii="Verdana" w:hAnsi="Verdana"/>
          <w:sz w:val="24"/>
          <w:szCs w:val="24"/>
          <w:lang w:val="es-ES_tradnl"/>
        </w:rPr>
        <w:t>a, 2002, pp. 271-272</w:t>
      </w:r>
      <w:r>
        <w:rPr>
          <w:rFonts w:ascii="Verdana" w:hAnsi="Verdana"/>
          <w:i/>
          <w:sz w:val="24"/>
          <w:szCs w:val="24"/>
          <w:lang w:val="es-ES_tradnl"/>
        </w:rPr>
        <w:t>)</w:t>
      </w:r>
    </w:p>
    <w:p w14:paraId="6B87FCBC" w14:textId="77777777" w:rsidR="002405AA" w:rsidRPr="002405AA" w:rsidRDefault="002405AA" w:rsidP="002405AA">
      <w:pPr>
        <w:ind w:left="-284"/>
        <w:jc w:val="both"/>
        <w:rPr>
          <w:rFonts w:ascii="Verdana" w:hAnsi="Verdana"/>
          <w:b/>
          <w:i/>
          <w:sz w:val="24"/>
          <w:szCs w:val="24"/>
          <w:lang w:val="es-ES_tradnl"/>
        </w:rPr>
      </w:pPr>
      <w:r w:rsidRPr="00A122C5">
        <w:rPr>
          <w:rFonts w:ascii="Verdana" w:hAnsi="Verdana"/>
          <w:b/>
          <w:i/>
          <w:sz w:val="24"/>
          <w:szCs w:val="24"/>
          <w:lang w:val="es-ES_tradnl"/>
        </w:rPr>
        <w:t>3.</w:t>
      </w:r>
      <w:r>
        <w:rPr>
          <w:rFonts w:ascii="Verdana" w:hAnsi="Verdana"/>
          <w:b/>
          <w:i/>
          <w:sz w:val="24"/>
          <w:szCs w:val="24"/>
          <w:lang w:val="es-ES_tradnl"/>
        </w:rPr>
        <w:t xml:space="preserve"> </w:t>
      </w:r>
      <w:r w:rsidRPr="00A122C5">
        <w:rPr>
          <w:rFonts w:ascii="Verdana" w:hAnsi="Verdana"/>
          <w:b/>
          <w:i/>
          <w:sz w:val="24"/>
          <w:szCs w:val="24"/>
          <w:lang w:val="es-ES_tradnl"/>
        </w:rPr>
        <w:t>El Papa no puede convertir en verdad r</w:t>
      </w:r>
      <w:r>
        <w:rPr>
          <w:rFonts w:ascii="Verdana" w:hAnsi="Verdana"/>
          <w:b/>
          <w:i/>
          <w:sz w:val="24"/>
          <w:szCs w:val="24"/>
          <w:lang w:val="es-ES_tradnl"/>
        </w:rPr>
        <w:t>e</w:t>
      </w:r>
      <w:r w:rsidRPr="00A122C5">
        <w:rPr>
          <w:rFonts w:ascii="Verdana" w:hAnsi="Verdana"/>
          <w:b/>
          <w:i/>
          <w:sz w:val="24"/>
          <w:szCs w:val="24"/>
          <w:lang w:val="es-ES_tradnl"/>
        </w:rPr>
        <w:t>velada, lo que en realidad no lo es</w:t>
      </w:r>
      <w:r w:rsidRPr="002405AA">
        <w:rPr>
          <w:rFonts w:ascii="Verdana" w:hAnsi="Verdana"/>
          <w:b/>
          <w:i/>
          <w:sz w:val="24"/>
          <w:szCs w:val="24"/>
          <w:lang w:val="es-ES_tradnl"/>
        </w:rPr>
        <w:t>.</w:t>
      </w:r>
    </w:p>
    <w:p w14:paraId="2F2D6E38" w14:textId="77777777" w:rsidR="002405AA" w:rsidRDefault="002405AA" w:rsidP="002405AA">
      <w:pPr>
        <w:ind w:left="-284"/>
        <w:jc w:val="both"/>
        <w:rPr>
          <w:rFonts w:ascii="Arial" w:hAnsi="Arial" w:cs="Arial"/>
          <w:color w:val="000000"/>
          <w:sz w:val="24"/>
          <w:szCs w:val="24"/>
        </w:rPr>
      </w:pPr>
      <w:r w:rsidRPr="002405AA">
        <w:rPr>
          <w:rFonts w:ascii="Verdana" w:hAnsi="Verdana"/>
          <w:i/>
          <w:sz w:val="24"/>
          <w:szCs w:val="24"/>
          <w:lang w:val="es-ES_tradnl"/>
        </w:rPr>
        <w:tab/>
        <w:t>Al</w:t>
      </w:r>
      <w:r w:rsidRPr="002405AA">
        <w:rPr>
          <w:sz w:val="24"/>
          <w:szCs w:val="24"/>
        </w:rPr>
        <w:t xml:space="preserve">  teólogo Domiciano Fernández, </w:t>
      </w:r>
      <w:r w:rsidRPr="002405AA">
        <w:rPr>
          <w:rFonts w:ascii="Arial" w:hAnsi="Arial" w:cs="Arial"/>
          <w:color w:val="000000"/>
          <w:sz w:val="24"/>
          <w:szCs w:val="24"/>
        </w:rPr>
        <w:t xml:space="preserve"> que sobresale por conocer a fondo esta cuestión, por su rigurosa documentación histórica y por su mesura e imparcialidad en valorar las razones de una y otra parte, se le prohibió  el libro  citado y no pudo verlo publicado antes de morir. Escribe: </w:t>
      </w:r>
    </w:p>
    <w:p w14:paraId="5AF7A577" w14:textId="2BBA8FDA" w:rsidR="002405AA" w:rsidRPr="002405AA" w:rsidRDefault="002405AA" w:rsidP="002405AA">
      <w:pPr>
        <w:ind w:left="-284"/>
        <w:jc w:val="both"/>
        <w:rPr>
          <w:rFonts w:ascii="Arial" w:hAnsi="Arial" w:cs="Arial"/>
          <w:color w:val="000000"/>
          <w:sz w:val="24"/>
          <w:szCs w:val="24"/>
        </w:rPr>
      </w:pPr>
      <w:r w:rsidRPr="002405AA">
        <w:rPr>
          <w:rFonts w:ascii="Arial" w:hAnsi="Arial" w:cs="Arial"/>
          <w:color w:val="000000"/>
          <w:sz w:val="24"/>
          <w:szCs w:val="24"/>
        </w:rPr>
        <w:br/>
      </w:r>
      <w:r w:rsidRPr="002405AA">
        <w:rPr>
          <w:rFonts w:ascii="Arial" w:hAnsi="Arial" w:cs="Arial"/>
          <w:color w:val="000000"/>
          <w:sz w:val="24"/>
          <w:szCs w:val="24"/>
        </w:rPr>
        <w:tab/>
      </w:r>
      <w:r w:rsidRPr="002405AA">
        <w:rPr>
          <w:rFonts w:ascii="Arial" w:hAnsi="Arial" w:cs="Arial"/>
          <w:color w:val="000000"/>
          <w:sz w:val="24"/>
          <w:szCs w:val="24"/>
        </w:rPr>
        <w:tab/>
      </w:r>
      <w:r w:rsidRPr="002405AA">
        <w:rPr>
          <w:rFonts w:ascii="Arial" w:hAnsi="Arial" w:cs="Arial"/>
          <w:i/>
          <w:color w:val="000000"/>
          <w:sz w:val="24"/>
          <w:szCs w:val="24"/>
        </w:rPr>
        <w:t>“Pronto me convencí de que no existía una dificultad dogmática seria que impida la ordenación sacerdotal de la mujer. No existen argumentos serios sacados de la Sagrada Escritura, donde no se plantea esta cuestión. Los argumentos teológicos deducidos de que el sacerdote representa a Cristo varón y el de alianza nupcial entre Cristo y su Iglesia (de los que me ocupo en el capítulo VII) no me parecen convincentes. Los argumentos que con tanta frecuencia han dado los Santos Padres y los teólogos, fundados en la inferioridad, en la incapacidad y en la impureza de la mujer, son inadmisibles y nos debieran llenar de vergüenza y sonrojo a los cristianos</w:t>
      </w:r>
      <w:r w:rsidRPr="002405AA">
        <w:rPr>
          <w:rFonts w:ascii="Arial" w:hAnsi="Arial" w:cs="Arial"/>
          <w:color w:val="000000"/>
          <w:sz w:val="24"/>
          <w:szCs w:val="24"/>
        </w:rPr>
        <w:t>” (Ídem, pp. 11 y 12).</w:t>
      </w:r>
    </w:p>
    <w:p w14:paraId="6993B918" w14:textId="77777777" w:rsidR="002405AA" w:rsidRPr="002405AA" w:rsidRDefault="002405AA" w:rsidP="002405AA">
      <w:pPr>
        <w:ind w:left="-284"/>
        <w:jc w:val="both"/>
        <w:rPr>
          <w:i/>
          <w:sz w:val="24"/>
          <w:szCs w:val="24"/>
        </w:rPr>
      </w:pPr>
      <w:r w:rsidRPr="002405AA">
        <w:rPr>
          <w:i/>
          <w:sz w:val="24"/>
          <w:szCs w:val="24"/>
        </w:rPr>
        <w:t>“ Muchos años de estudio no han podido convencer ni a los teólogos ni a los biblistas de que sea expresa voluntad de Cristo excluir a las mujeres del ministerio ordenado. Los ministerios los ha creado la Iglesia según las necesidades de los tiempos y según la cultura de la época. Han cambiado y siguen cambiando.</w:t>
      </w:r>
    </w:p>
    <w:p w14:paraId="6330B904" w14:textId="77777777" w:rsidR="002405AA" w:rsidRDefault="002405AA" w:rsidP="002405AA">
      <w:pPr>
        <w:ind w:left="-284"/>
        <w:jc w:val="both"/>
      </w:pPr>
      <w:r w:rsidRPr="002405AA">
        <w:rPr>
          <w:i/>
          <w:sz w:val="24"/>
          <w:szCs w:val="24"/>
        </w:rPr>
        <w:t>Lo que los biblistas y teólogos rechazan y no ven oportuno ni conveniente es que se quiera zanjar de un modo definitivo la cuestión de principio, cuando no hay argumentos válidos que fundamenten esta decisión. Una decisión del Papa no puede convertir en palabra revelada lo que realmente no lo es. Es un anacronismo invocar el ejemplo de Cristo o de los apóstoles para deducir que se trata de una verdad que pertenece al “</w:t>
      </w:r>
      <w:proofErr w:type="spellStart"/>
      <w:r w:rsidRPr="002405AA">
        <w:rPr>
          <w:i/>
          <w:sz w:val="24"/>
          <w:szCs w:val="24"/>
        </w:rPr>
        <w:t>depositum</w:t>
      </w:r>
      <w:proofErr w:type="spellEnd"/>
      <w:r w:rsidRPr="002405AA">
        <w:rPr>
          <w:i/>
          <w:sz w:val="24"/>
          <w:szCs w:val="24"/>
        </w:rPr>
        <w:t xml:space="preserve"> </w:t>
      </w:r>
      <w:proofErr w:type="spellStart"/>
      <w:r w:rsidRPr="002405AA">
        <w:rPr>
          <w:i/>
          <w:sz w:val="24"/>
          <w:szCs w:val="24"/>
        </w:rPr>
        <w:t>fidei</w:t>
      </w:r>
      <w:proofErr w:type="spellEnd"/>
      <w:r w:rsidRPr="002405AA">
        <w:rPr>
          <w:i/>
          <w:sz w:val="24"/>
          <w:szCs w:val="24"/>
        </w:rPr>
        <w:t>”. Y si no se trata de una verdad revelada, el Papa no tiene</w:t>
      </w:r>
      <w:r w:rsidRPr="00EF607B">
        <w:rPr>
          <w:i/>
        </w:rPr>
        <w:t xml:space="preserve"> autoridad para proclamarla como infalible o como verdad de fe. Me parece esencial que haya más diálogo, más libertad, más espíritu de comunión. Que Roma no se limite a proclamar verdades y dar órdenes. Es necesario es cuchar lo que otros dicen. Escuchar para reflexionar y aprender, y no sólo para enseñar. Es importante descubrir lo que Dios nos habla a través de los signos de los tiempo</w:t>
      </w:r>
      <w:r w:rsidRPr="00783EC4">
        <w:t>s”</w:t>
      </w:r>
      <w:r>
        <w:t xml:space="preserve"> (Ídem, pp. 271-272).</w:t>
      </w:r>
    </w:p>
    <w:p w14:paraId="5F36AC7D" w14:textId="77777777" w:rsidR="002405AA" w:rsidRDefault="002405AA" w:rsidP="002405AA">
      <w:pPr>
        <w:spacing w:after="360" w:line="384" w:lineRule="atLeast"/>
        <w:rPr>
          <w:rFonts w:ascii="Verdana" w:eastAsia="Times New Roman" w:hAnsi="Verdana" w:cs="Arial"/>
          <w:color w:val="000000"/>
          <w:lang w:eastAsia="es-ES"/>
        </w:rPr>
      </w:pPr>
      <w:r>
        <w:t>*</w:t>
      </w:r>
      <w:r w:rsidRPr="00192452">
        <w:rPr>
          <w:rFonts w:ascii="Verdana" w:hAnsi="Verdana" w:cs="Arial"/>
          <w:color w:val="000000"/>
        </w:rPr>
        <w:t xml:space="preserve"> </w:t>
      </w:r>
      <w:r>
        <w:rPr>
          <w:rFonts w:ascii="Verdana" w:hAnsi="Verdana" w:cs="Arial"/>
          <w:color w:val="000000"/>
        </w:rPr>
        <w:t xml:space="preserve">- </w:t>
      </w:r>
      <w:r w:rsidRPr="001B04E4">
        <w:rPr>
          <w:rFonts w:ascii="Verdana" w:hAnsi="Verdana" w:cs="Arial"/>
          <w:color w:val="000000"/>
        </w:rPr>
        <w:t>Domiciano Fernández</w:t>
      </w:r>
      <w:r>
        <w:rPr>
          <w:rFonts w:ascii="Arial" w:hAnsi="Arial" w:cs="Arial"/>
          <w:color w:val="000000"/>
          <w:sz w:val="21"/>
          <w:szCs w:val="21"/>
        </w:rPr>
        <w:t xml:space="preserve">, </w:t>
      </w:r>
      <w:r w:rsidRPr="00D55271">
        <w:rPr>
          <w:rFonts w:ascii="Arial" w:hAnsi="Arial" w:cs="Arial"/>
          <w:i/>
          <w:color w:val="000000"/>
          <w:sz w:val="21"/>
          <w:szCs w:val="21"/>
        </w:rPr>
        <w:t>Ministerios de la mujer en la Iglesia,</w:t>
      </w:r>
      <w:r>
        <w:rPr>
          <w:rFonts w:ascii="Arial" w:hAnsi="Arial" w:cs="Arial"/>
          <w:color w:val="000000"/>
          <w:sz w:val="21"/>
          <w:szCs w:val="21"/>
        </w:rPr>
        <w:t xml:space="preserve"> Nueva Utopía, 2002, pg. 235) (</w:t>
      </w:r>
      <w:r w:rsidRPr="0031603D">
        <w:rPr>
          <w:rFonts w:ascii="Arial" w:hAnsi="Arial" w:cs="Arial"/>
          <w:color w:val="000000"/>
          <w:sz w:val="18"/>
          <w:szCs w:val="18"/>
        </w:rPr>
        <w:t xml:space="preserve">Agotado). </w:t>
      </w:r>
      <w:r>
        <w:rPr>
          <w:rFonts w:ascii="Arial" w:hAnsi="Arial" w:cs="Arial"/>
          <w:color w:val="000000"/>
          <w:sz w:val="21"/>
          <w:szCs w:val="21"/>
        </w:rPr>
        <w:t xml:space="preserve">  </w:t>
      </w:r>
      <w:r>
        <w:rPr>
          <w:rFonts w:ascii="Verdana" w:eastAsia="Times New Roman" w:hAnsi="Verdana" w:cs="Arial"/>
          <w:color w:val="000000"/>
          <w:lang w:eastAsia="es-ES"/>
        </w:rPr>
        <w:t xml:space="preserve">   </w:t>
      </w:r>
    </w:p>
    <w:p w14:paraId="4F840FAD" w14:textId="77777777" w:rsidR="002405AA" w:rsidRPr="0031603D" w:rsidRDefault="002405AA" w:rsidP="002405AA">
      <w:pPr>
        <w:spacing w:after="360" w:line="384" w:lineRule="atLeast"/>
        <w:rPr>
          <w:rFonts w:ascii="Arial" w:eastAsia="Times New Roman" w:hAnsi="Arial" w:cs="Arial"/>
          <w:color w:val="000000"/>
          <w:sz w:val="18"/>
          <w:szCs w:val="18"/>
          <w:lang w:eastAsia="es-ES"/>
        </w:rPr>
      </w:pPr>
      <w:r>
        <w:rPr>
          <w:rFonts w:ascii="Verdana" w:eastAsia="Times New Roman" w:hAnsi="Verdana" w:cs="Arial"/>
          <w:color w:val="000000"/>
          <w:lang w:eastAsia="es-ES"/>
        </w:rPr>
        <w:t xml:space="preserve">- </w:t>
      </w:r>
      <w:r w:rsidRPr="001B04E4">
        <w:rPr>
          <w:rFonts w:ascii="Verdana" w:eastAsia="Times New Roman" w:hAnsi="Verdana" w:cs="Arial"/>
          <w:color w:val="000000"/>
          <w:lang w:eastAsia="es-ES"/>
        </w:rPr>
        <w:t xml:space="preserve">Xabier </w:t>
      </w:r>
      <w:proofErr w:type="spellStart"/>
      <w:r w:rsidRPr="001B04E4">
        <w:rPr>
          <w:rFonts w:ascii="Verdana" w:eastAsia="Times New Roman" w:hAnsi="Verdana" w:cs="Arial"/>
          <w:color w:val="000000"/>
          <w:lang w:eastAsia="es-ES"/>
        </w:rPr>
        <w:t>Pikaza</w:t>
      </w:r>
      <w:proofErr w:type="spellEnd"/>
      <w:r w:rsidRPr="001B04E4">
        <w:rPr>
          <w:rFonts w:ascii="Arial" w:eastAsia="Times New Roman" w:hAnsi="Arial" w:cs="Arial"/>
          <w:color w:val="000000"/>
          <w:lang w:eastAsia="es-ES"/>
        </w:rPr>
        <w:t xml:space="preserve">, </w:t>
      </w:r>
      <w:r w:rsidRPr="002768D6">
        <w:rPr>
          <w:rFonts w:ascii="Arial" w:eastAsia="Times New Roman" w:hAnsi="Arial" w:cs="Arial"/>
          <w:i/>
          <w:color w:val="000000"/>
          <w:sz w:val="21"/>
          <w:szCs w:val="21"/>
          <w:lang w:eastAsia="es-ES"/>
        </w:rPr>
        <w:t>La novedad de Jesús. Todos somos sacerdotes</w:t>
      </w:r>
      <w:r w:rsidRPr="009752A6">
        <w:rPr>
          <w:rFonts w:ascii="Arial" w:eastAsia="Times New Roman" w:hAnsi="Arial" w:cs="Arial"/>
          <w:color w:val="000000"/>
          <w:sz w:val="21"/>
          <w:szCs w:val="21"/>
          <w:lang w:eastAsia="es-ES"/>
        </w:rPr>
        <w:t xml:space="preserve">”, Xabier </w:t>
      </w:r>
      <w:proofErr w:type="spellStart"/>
      <w:r w:rsidRPr="009752A6">
        <w:rPr>
          <w:rFonts w:ascii="Arial" w:eastAsia="Times New Roman" w:hAnsi="Arial" w:cs="Arial"/>
          <w:color w:val="000000"/>
          <w:sz w:val="21"/>
          <w:szCs w:val="21"/>
          <w:lang w:eastAsia="es-ES"/>
        </w:rPr>
        <w:t>Pikaza</w:t>
      </w:r>
      <w:proofErr w:type="spellEnd"/>
      <w:r w:rsidRPr="009752A6">
        <w:rPr>
          <w:rFonts w:ascii="Arial" w:eastAsia="Times New Roman" w:hAnsi="Arial" w:cs="Arial"/>
          <w:color w:val="000000"/>
          <w:sz w:val="21"/>
          <w:szCs w:val="21"/>
          <w:lang w:eastAsia="es-ES"/>
        </w:rPr>
        <w:t>, Ed. Nueva Utopía, Madrid 2014)</w:t>
      </w:r>
      <w:r>
        <w:rPr>
          <w:rFonts w:ascii="Arial" w:eastAsia="Times New Roman" w:hAnsi="Arial" w:cs="Arial"/>
          <w:color w:val="000000"/>
          <w:sz w:val="21"/>
          <w:szCs w:val="21"/>
          <w:lang w:eastAsia="es-ES"/>
        </w:rPr>
        <w:t xml:space="preserve">. </w:t>
      </w:r>
      <w:r w:rsidRPr="0031603D">
        <w:rPr>
          <w:rFonts w:ascii="Arial" w:eastAsia="Times New Roman" w:hAnsi="Arial" w:cs="Arial"/>
          <w:color w:val="000000"/>
          <w:sz w:val="18"/>
          <w:szCs w:val="18"/>
          <w:lang w:eastAsia="es-ES"/>
        </w:rPr>
        <w:t xml:space="preserve">(Agotado) </w:t>
      </w:r>
    </w:p>
    <w:p w14:paraId="68C5298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AA"/>
    <w:rsid w:val="002405A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5C9F"/>
  <w15:chartTrackingRefBased/>
  <w15:docId w15:val="{68A815FE-F534-442E-898B-BB260597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A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05A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6336</Characters>
  <Application>Microsoft Office Word</Application>
  <DocSecurity>0</DocSecurity>
  <Lines>52</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2021-03-02T10:56:00Z</dcterms:created>
  <dcterms:modified xsi:type="dcterms:W3CDTF">2021-03-02T10:58:00Z</dcterms:modified>
</cp:coreProperties>
</file>