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782" w:rsidRPr="00567782" w:rsidRDefault="00567782" w:rsidP="00567782">
      <w:pPr>
        <w:spacing w:after="0" w:line="750" w:lineRule="atLeast"/>
        <w:outlineLvl w:val="0"/>
        <w:rPr>
          <w:rFonts w:ascii="ITC Fenice Std" w:eastAsia="Times New Roman" w:hAnsi="ITC Fenice Std" w:cs="Times New Roman"/>
          <w:color w:val="111111"/>
          <w:kern w:val="36"/>
          <w:sz w:val="52"/>
          <w:szCs w:val="52"/>
          <w:lang w:val="es-UY" w:eastAsia="es-UY"/>
        </w:rPr>
      </w:pPr>
      <w:proofErr w:type="spellStart"/>
      <w:r w:rsidRPr="00567782">
        <w:rPr>
          <w:rFonts w:ascii="ITC Fenice Std" w:eastAsia="Times New Roman" w:hAnsi="ITC Fenice Std" w:cs="Times New Roman"/>
          <w:color w:val="111111"/>
          <w:kern w:val="36"/>
          <w:sz w:val="52"/>
          <w:szCs w:val="52"/>
          <w:lang w:val="es-UY" w:eastAsia="es-UY"/>
        </w:rPr>
        <w:t>Byung-Chul</w:t>
      </w:r>
      <w:proofErr w:type="spellEnd"/>
      <w:r w:rsidRPr="00567782">
        <w:rPr>
          <w:rFonts w:ascii="ITC Fenice Std" w:eastAsia="Times New Roman" w:hAnsi="ITC Fenice Std" w:cs="Times New Roman"/>
          <w:color w:val="111111"/>
          <w:kern w:val="36"/>
          <w:sz w:val="52"/>
          <w:szCs w:val="52"/>
          <w:lang w:val="es-UY" w:eastAsia="es-UY"/>
        </w:rPr>
        <w:t xml:space="preserve"> Han piensa la muerte</w:t>
      </w:r>
    </w:p>
    <w:p w:rsidR="00567782" w:rsidRPr="00567782" w:rsidRDefault="00567782" w:rsidP="00567782">
      <w:pPr>
        <w:spacing w:after="0" w:line="240" w:lineRule="auto"/>
        <w:rPr>
          <w:rFonts w:ascii="Arial" w:eastAsia="Times New Roman" w:hAnsi="Arial" w:cs="Arial"/>
          <w:color w:val="444444"/>
          <w:sz w:val="17"/>
          <w:szCs w:val="17"/>
          <w:lang w:val="es-UY" w:eastAsia="es-UY"/>
        </w:rPr>
      </w:pPr>
      <w:bookmarkStart w:id="0" w:name="_GoBack"/>
      <w:bookmarkEnd w:id="0"/>
    </w:p>
    <w:p w:rsidR="00567782" w:rsidRPr="00567782" w:rsidRDefault="00567782" w:rsidP="00567782">
      <w:pPr>
        <w:spacing w:line="240" w:lineRule="auto"/>
        <w:textAlignment w:val="center"/>
        <w:rPr>
          <w:rFonts w:ascii="Arial" w:eastAsia="Times New Roman" w:hAnsi="Arial" w:cs="Arial"/>
          <w:color w:val="000000"/>
          <w:sz w:val="21"/>
          <w:szCs w:val="21"/>
          <w:lang w:val="es-UY" w:eastAsia="es-UY"/>
        </w:rPr>
      </w:pPr>
      <w:r w:rsidRPr="00567782">
        <w:rPr>
          <w:rFonts w:ascii="Arial" w:eastAsia="Times New Roman" w:hAnsi="Arial" w:cs="Arial"/>
          <w:color w:val="000000"/>
          <w:sz w:val="21"/>
          <w:szCs w:val="21"/>
          <w:lang w:val="es-UY" w:eastAsia="es-UY"/>
        </w:rPr>
        <w:t>   </w:t>
      </w:r>
    </w:p>
    <w:p w:rsidR="00567782" w:rsidRDefault="00567782" w:rsidP="00567782">
      <w:pPr>
        <w:spacing w:after="0" w:line="390" w:lineRule="atLeast"/>
        <w:jc w:val="center"/>
        <w:rPr>
          <w:rFonts w:ascii="Verdana" w:eastAsia="Times New Roman" w:hAnsi="Verdana" w:cs="Times New Roman"/>
          <w:color w:val="222222"/>
          <w:sz w:val="23"/>
          <w:szCs w:val="23"/>
          <w:lang w:val="es-UY" w:eastAsia="es-UY"/>
        </w:rPr>
      </w:pPr>
      <w:r w:rsidRPr="00567782">
        <w:rPr>
          <w:rFonts w:ascii="Verdana" w:eastAsia="Times New Roman" w:hAnsi="Verdana" w:cs="Times New Roman"/>
          <w:noProof/>
          <w:color w:val="285AD0"/>
          <w:sz w:val="23"/>
          <w:szCs w:val="23"/>
          <w:lang w:val="es-UY" w:eastAsia="es-UY"/>
        </w:rPr>
        <w:drawing>
          <wp:inline distT="0" distB="0" distL="0" distR="0" wp14:anchorId="29F42D72" wp14:editId="607BE11D">
            <wp:extent cx="3936141" cy="2213137"/>
            <wp:effectExtent l="0" t="0" r="7620" b="0"/>
            <wp:docPr id="1" name="Imagen 1" descr="«La libertad como libertad para morir sería esta superioridad sobre la ‘existencia natural’. Ella promete la libertad de la autoconciencia autónoma», escribe Byung-Chul Han en esta obra sobre la muerte. Imagen de Ractapopulous en Pixabay">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ibertad como libertad para morir sería esta superioridad sobre la ‘existencia natural’. Ella promete la libertad de la autoconciencia autónoma», escribe Byung-Chul Han en esta obra sobre la muerte. Imagen de Ractapopulous en Pixabay">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2583" cy="2222382"/>
                    </a:xfrm>
                    <a:prstGeom prst="rect">
                      <a:avLst/>
                    </a:prstGeom>
                    <a:noFill/>
                    <a:ln>
                      <a:noFill/>
                    </a:ln>
                  </pic:spPr>
                </pic:pic>
              </a:graphicData>
            </a:graphic>
          </wp:inline>
        </w:drawing>
      </w:r>
    </w:p>
    <w:p w:rsidR="00567782" w:rsidRPr="00567782" w:rsidRDefault="00567782" w:rsidP="00567782">
      <w:pPr>
        <w:spacing w:after="0" w:line="390" w:lineRule="atLeast"/>
        <w:jc w:val="center"/>
        <w:rPr>
          <w:rFonts w:ascii="Verdana" w:eastAsia="Times New Roman" w:hAnsi="Verdana" w:cs="Times New Roman"/>
          <w:color w:val="222222"/>
          <w:sz w:val="23"/>
          <w:szCs w:val="23"/>
          <w:lang w:val="es-UY" w:eastAsia="es-UY"/>
        </w:rPr>
      </w:pPr>
      <w:r w:rsidRPr="00567782">
        <w:rPr>
          <w:rFonts w:ascii="Verdana" w:eastAsia="Times New Roman" w:hAnsi="Verdana" w:cs="Times New Roman"/>
          <w:color w:val="222222"/>
          <w:sz w:val="23"/>
          <w:szCs w:val="23"/>
          <w:lang w:val="es-UY" w:eastAsia="es-UY"/>
        </w:rPr>
        <w:t xml:space="preserve">«La libertad como libertad para morir sería esta superioridad sobre la ‘existencia natural’. Ella promete la libertad de la autoconciencia autónoma», escribe </w:t>
      </w:r>
      <w:proofErr w:type="spellStart"/>
      <w:r w:rsidRPr="00567782">
        <w:rPr>
          <w:rFonts w:ascii="Verdana" w:eastAsia="Times New Roman" w:hAnsi="Verdana" w:cs="Times New Roman"/>
          <w:color w:val="222222"/>
          <w:sz w:val="23"/>
          <w:szCs w:val="23"/>
          <w:lang w:val="es-UY" w:eastAsia="es-UY"/>
        </w:rPr>
        <w:t>Byung-Chul</w:t>
      </w:r>
      <w:proofErr w:type="spellEnd"/>
      <w:r w:rsidRPr="00567782">
        <w:rPr>
          <w:rFonts w:ascii="Verdana" w:eastAsia="Times New Roman" w:hAnsi="Verdana" w:cs="Times New Roman"/>
          <w:color w:val="222222"/>
          <w:sz w:val="23"/>
          <w:szCs w:val="23"/>
          <w:lang w:val="es-UY" w:eastAsia="es-UY"/>
        </w:rPr>
        <w:t xml:space="preserve"> Han en «Muerte y alteridad». Imagen de </w:t>
      </w:r>
      <w:proofErr w:type="spellStart"/>
      <w:r w:rsidRPr="00567782">
        <w:rPr>
          <w:rFonts w:ascii="Verdana" w:eastAsia="Times New Roman" w:hAnsi="Verdana" w:cs="Times New Roman"/>
          <w:color w:val="222222"/>
          <w:sz w:val="23"/>
          <w:szCs w:val="23"/>
          <w:lang w:val="es-UY" w:eastAsia="es-UY"/>
        </w:rPr>
        <w:t>Ractapopulous</w:t>
      </w:r>
      <w:proofErr w:type="spellEnd"/>
      <w:r w:rsidRPr="00567782">
        <w:rPr>
          <w:rFonts w:ascii="Verdana" w:eastAsia="Times New Roman" w:hAnsi="Verdana" w:cs="Times New Roman"/>
          <w:color w:val="222222"/>
          <w:sz w:val="23"/>
          <w:szCs w:val="23"/>
          <w:lang w:val="es-UY" w:eastAsia="es-UY"/>
        </w:rPr>
        <w:t xml:space="preserve"> en </w:t>
      </w:r>
      <w:proofErr w:type="spellStart"/>
      <w:r w:rsidRPr="00567782">
        <w:rPr>
          <w:rFonts w:ascii="Verdana" w:eastAsia="Times New Roman" w:hAnsi="Verdana" w:cs="Times New Roman"/>
          <w:color w:val="222222"/>
          <w:sz w:val="23"/>
          <w:szCs w:val="23"/>
          <w:lang w:val="es-UY" w:eastAsia="es-UY"/>
        </w:rPr>
        <w:t>Pixabay</w:t>
      </w:r>
      <w:proofErr w:type="spellEnd"/>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Arial" w:eastAsia="Times New Roman" w:hAnsi="Arial" w:cs="Arial"/>
          <w:b/>
          <w:bCs/>
          <w:color w:val="000000"/>
          <w:sz w:val="27"/>
          <w:szCs w:val="27"/>
          <w:shd w:val="clear" w:color="auto" w:fill="FFFFFF"/>
          <w:lang w:val="es-UY" w:eastAsia="es-UY"/>
        </w:rPr>
        <w:t xml:space="preserve">La muerte es esa extraña e inhóspita desconocida de la que, sin embargo, todos tenemos noticia. Nadie de entre los vivos sabe en qué consiste, aunque sí podemos constatarla, al menos en el cuerpo ajeno. El célebre pensador </w:t>
      </w:r>
      <w:proofErr w:type="spellStart"/>
      <w:r w:rsidRPr="00567782">
        <w:rPr>
          <w:rFonts w:ascii="Arial" w:eastAsia="Times New Roman" w:hAnsi="Arial" w:cs="Arial"/>
          <w:b/>
          <w:bCs/>
          <w:color w:val="000000"/>
          <w:sz w:val="27"/>
          <w:szCs w:val="27"/>
          <w:shd w:val="clear" w:color="auto" w:fill="FFFFFF"/>
          <w:lang w:val="es-UY" w:eastAsia="es-UY"/>
        </w:rPr>
        <w:t>Byung-Chul</w:t>
      </w:r>
      <w:proofErr w:type="spellEnd"/>
      <w:r w:rsidRPr="00567782">
        <w:rPr>
          <w:rFonts w:ascii="Arial" w:eastAsia="Times New Roman" w:hAnsi="Arial" w:cs="Arial"/>
          <w:b/>
          <w:bCs/>
          <w:color w:val="000000"/>
          <w:sz w:val="27"/>
          <w:szCs w:val="27"/>
          <w:shd w:val="clear" w:color="auto" w:fill="FFFFFF"/>
          <w:lang w:val="es-UY" w:eastAsia="es-UY"/>
        </w:rPr>
        <w:t xml:space="preserve"> Han se adentra en </w:t>
      </w:r>
      <w:r w:rsidRPr="00567782">
        <w:rPr>
          <w:rFonts w:ascii="Arial" w:eastAsia="Times New Roman" w:hAnsi="Arial" w:cs="Arial"/>
          <w:b/>
          <w:bCs/>
          <w:i/>
          <w:iCs/>
          <w:color w:val="000000"/>
          <w:sz w:val="27"/>
          <w:szCs w:val="27"/>
          <w:shd w:val="clear" w:color="auto" w:fill="FFFFFF"/>
          <w:lang w:val="es-UY" w:eastAsia="es-UY"/>
        </w:rPr>
        <w:t>Muerte y alteridad</w:t>
      </w:r>
      <w:r w:rsidRPr="00567782">
        <w:rPr>
          <w:rFonts w:ascii="Arial" w:eastAsia="Times New Roman" w:hAnsi="Arial" w:cs="Arial"/>
          <w:b/>
          <w:bCs/>
          <w:color w:val="000000"/>
          <w:sz w:val="27"/>
          <w:szCs w:val="27"/>
          <w:shd w:val="clear" w:color="auto" w:fill="FFFFFF"/>
          <w:lang w:val="es-UY" w:eastAsia="es-UY"/>
        </w:rPr>
        <w:t> en un análisis que recorre los vericuetos más enrevesados del yo cuando se enfrenta a esta experiencia del límite.</w:t>
      </w:r>
    </w:p>
    <w:p w:rsidR="00567782" w:rsidRPr="00567782" w:rsidRDefault="00567782" w:rsidP="00567782">
      <w:pPr>
        <w:spacing w:after="390" w:line="390" w:lineRule="atLeast"/>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808080"/>
          <w:sz w:val="23"/>
          <w:szCs w:val="23"/>
          <w:lang w:val="es-UY" w:eastAsia="es-UY"/>
        </w:rPr>
        <w:t>Por Carlos Javier González Serrano, filósofo</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Escribía san Juan de la Cruz en uno de sus más bellos poemas que todo emerge de la oscuridad,</w:t>
      </w:r>
      <w:r w:rsidRPr="00567782">
        <w:rPr>
          <w:rFonts w:ascii="Verdana" w:eastAsia="Times New Roman" w:hAnsi="Verdana" w:cs="Times New Roman"/>
          <w:color w:val="222222"/>
          <w:sz w:val="23"/>
          <w:szCs w:val="23"/>
          <w:lang w:val="es-UY" w:eastAsia="es-UY"/>
        </w:rPr>
        <w:t> y que es de ella, a fin de cuentas, de donde procede toda claridad: «aunque es de noche», repite una y otra vez la pieza del místico, existe una fuente de la que emana toda vida, toda esperanza, el mundo incluso en su totalidad. Solo allí donde hay sombra puede verse la luz; la una es condición de aparición de la otra.</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La muerte es una de esas sombras insobornables a las que nos enfrenta la vida.</w:t>
      </w:r>
      <w:r w:rsidRPr="00567782">
        <w:rPr>
          <w:rFonts w:ascii="Verdana" w:eastAsia="Times New Roman" w:hAnsi="Verdana" w:cs="Times New Roman"/>
          <w:color w:val="222222"/>
          <w:sz w:val="23"/>
          <w:szCs w:val="23"/>
          <w:lang w:val="es-UY" w:eastAsia="es-UY"/>
        </w:rPr>
        <w:t xml:space="preserve"> Paradoja por antonomasia esta, quizá: la de que la </w:t>
      </w:r>
      <w:r w:rsidRPr="00567782">
        <w:rPr>
          <w:rFonts w:ascii="Verdana" w:eastAsia="Times New Roman" w:hAnsi="Verdana" w:cs="Times New Roman"/>
          <w:color w:val="222222"/>
          <w:sz w:val="23"/>
          <w:szCs w:val="23"/>
          <w:lang w:val="es-UY" w:eastAsia="es-UY"/>
        </w:rPr>
        <w:lastRenderedPageBreak/>
        <w:t xml:space="preserve">condición de estar vivo consista en afrontar precisamente el final. Y es que, explica </w:t>
      </w:r>
      <w:proofErr w:type="spellStart"/>
      <w:r w:rsidRPr="00567782">
        <w:rPr>
          <w:rFonts w:ascii="Verdana" w:eastAsia="Times New Roman" w:hAnsi="Verdana" w:cs="Times New Roman"/>
          <w:color w:val="222222"/>
          <w:sz w:val="23"/>
          <w:szCs w:val="23"/>
          <w:lang w:val="es-UY" w:eastAsia="es-UY"/>
        </w:rPr>
        <w:t>Byung-Chul</w:t>
      </w:r>
      <w:proofErr w:type="spellEnd"/>
      <w:r w:rsidRPr="00567782">
        <w:rPr>
          <w:rFonts w:ascii="Verdana" w:eastAsia="Times New Roman" w:hAnsi="Verdana" w:cs="Times New Roman"/>
          <w:color w:val="222222"/>
          <w:sz w:val="23"/>
          <w:szCs w:val="23"/>
          <w:lang w:val="es-UY" w:eastAsia="es-UY"/>
        </w:rPr>
        <w:t xml:space="preserve"> Han en </w:t>
      </w:r>
      <w:r w:rsidRPr="00567782">
        <w:rPr>
          <w:rFonts w:ascii="Verdana" w:eastAsia="Times New Roman" w:hAnsi="Verdana" w:cs="Times New Roman"/>
          <w:i/>
          <w:iCs/>
          <w:color w:val="222222"/>
          <w:sz w:val="23"/>
          <w:szCs w:val="23"/>
          <w:lang w:val="es-UY" w:eastAsia="es-UY"/>
        </w:rPr>
        <w:t>Muerte y alteridad </w:t>
      </w:r>
      <w:r w:rsidRPr="00567782">
        <w:rPr>
          <w:rFonts w:ascii="Verdana" w:eastAsia="Times New Roman" w:hAnsi="Verdana" w:cs="Times New Roman"/>
          <w:color w:val="222222"/>
          <w:sz w:val="23"/>
          <w:szCs w:val="23"/>
          <w:lang w:val="es-UY" w:eastAsia="es-UY"/>
        </w:rPr>
        <w:t>(de Herder Editorial) —quizá uno de los mejores libros que ha escrito (por su profundidad y alcance, así como por el extenso material empleado para su desarrollo)—, «ante la inminencia de la muerte se produce una hipertrofia patológica del yo. La estrategia de supervivencia consiste en que todo cuanto existe debe hacerse yo». Frente a la muerte, el yo lo cubre todo, lo inunda todo, debido a la angustia a la que nos aboca: «Experimentada como el final del yo, se torna una ciega cólera contra todo lo que no es el yo».</w:t>
      </w:r>
    </w:p>
    <w:p w:rsidR="00567782" w:rsidRPr="00567782" w:rsidRDefault="00567782" w:rsidP="00567782">
      <w:pPr>
        <w:spacing w:before="360" w:after="210" w:line="435" w:lineRule="atLeast"/>
        <w:outlineLvl w:val="3"/>
        <w:rPr>
          <w:rFonts w:ascii="Arial" w:eastAsia="Times New Roman" w:hAnsi="Arial" w:cs="Arial"/>
          <w:color w:val="111111"/>
          <w:sz w:val="29"/>
          <w:szCs w:val="29"/>
          <w:lang w:val="es-UY" w:eastAsia="es-UY"/>
        </w:rPr>
      </w:pPr>
      <w:r w:rsidRPr="00567782">
        <w:rPr>
          <w:rFonts w:ascii="Arial" w:eastAsia="Times New Roman" w:hAnsi="Arial" w:cs="Arial"/>
          <w:b/>
          <w:bCs/>
          <w:color w:val="111111"/>
          <w:sz w:val="29"/>
          <w:szCs w:val="29"/>
          <w:lang w:val="es-UY" w:eastAsia="es-UY"/>
        </w:rPr>
        <w:t>Amor y supervivencia</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 xml:space="preserve">La muerte, declara Han </w:t>
      </w:r>
      <w:proofErr w:type="gramStart"/>
      <w:r w:rsidRPr="00567782">
        <w:rPr>
          <w:rFonts w:ascii="Verdana" w:eastAsia="Times New Roman" w:hAnsi="Verdana" w:cs="Times New Roman"/>
          <w:b/>
          <w:bCs/>
          <w:color w:val="222222"/>
          <w:sz w:val="23"/>
          <w:szCs w:val="23"/>
          <w:lang w:val="es-UY" w:eastAsia="es-UY"/>
        </w:rPr>
        <w:t>poniendo</w:t>
      </w:r>
      <w:proofErr w:type="gramEnd"/>
      <w:r w:rsidRPr="00567782">
        <w:rPr>
          <w:rFonts w:ascii="Verdana" w:eastAsia="Times New Roman" w:hAnsi="Verdana" w:cs="Times New Roman"/>
          <w:b/>
          <w:bCs/>
          <w:color w:val="222222"/>
          <w:sz w:val="23"/>
          <w:szCs w:val="23"/>
          <w:lang w:val="es-UY" w:eastAsia="es-UY"/>
        </w:rPr>
        <w:t xml:space="preserve"> como ejemplo </w:t>
      </w:r>
      <w:r w:rsidRPr="00567782">
        <w:rPr>
          <w:rFonts w:ascii="Verdana" w:eastAsia="Times New Roman" w:hAnsi="Verdana" w:cs="Times New Roman"/>
          <w:b/>
          <w:bCs/>
          <w:i/>
          <w:iCs/>
          <w:color w:val="222222"/>
          <w:sz w:val="23"/>
          <w:szCs w:val="23"/>
          <w:lang w:val="es-UY" w:eastAsia="es-UY"/>
        </w:rPr>
        <w:t>El rey se muere</w:t>
      </w:r>
      <w:r w:rsidRPr="00567782">
        <w:rPr>
          <w:rFonts w:ascii="Verdana" w:eastAsia="Times New Roman" w:hAnsi="Verdana" w:cs="Times New Roman"/>
          <w:b/>
          <w:bCs/>
          <w:color w:val="222222"/>
          <w:sz w:val="23"/>
          <w:szCs w:val="23"/>
          <w:lang w:val="es-UY" w:eastAsia="es-UY"/>
        </w:rPr>
        <w:t> de Ionesco, se nos presenta como «lo distinto del poder»,</w:t>
      </w:r>
      <w:r w:rsidRPr="00567782">
        <w:rPr>
          <w:rFonts w:ascii="Verdana" w:eastAsia="Times New Roman" w:hAnsi="Verdana" w:cs="Times New Roman"/>
          <w:color w:val="222222"/>
          <w:sz w:val="23"/>
          <w:szCs w:val="23"/>
          <w:lang w:val="es-UY" w:eastAsia="es-UY"/>
        </w:rPr>
        <w:t> aquello que queda más allá de cualquier dominio de nuestra acción. En ese momento, defiende el filósofo, «el amor pasa a ser una estrategia para sobrevivir», pues «quien ama no muere» y, podríamos decir también, quien permanece amado nunca es olvidado y, por tanto, de alguna manera nunca muere del todo. Ante esa inminencia de la muerte podemos hacer despertar un amor de corte heroico, «en el que el yo deja paso al otro. Tal amor también promete una supervivencia».</w:t>
      </w:r>
    </w:p>
    <w:p w:rsidR="00567782" w:rsidRPr="00567782" w:rsidRDefault="00567782" w:rsidP="00567782">
      <w:pPr>
        <w:spacing w:before="360" w:after="210" w:line="435" w:lineRule="atLeast"/>
        <w:outlineLvl w:val="3"/>
        <w:rPr>
          <w:rFonts w:ascii="Arial" w:eastAsia="Times New Roman" w:hAnsi="Arial" w:cs="Arial"/>
          <w:color w:val="111111"/>
          <w:sz w:val="29"/>
          <w:szCs w:val="29"/>
          <w:lang w:val="es-UY" w:eastAsia="es-UY"/>
        </w:rPr>
      </w:pPr>
      <w:r w:rsidRPr="00567782">
        <w:rPr>
          <w:rFonts w:ascii="Arial" w:eastAsia="Times New Roman" w:hAnsi="Arial" w:cs="Arial"/>
          <w:b/>
          <w:bCs/>
          <w:color w:val="111111"/>
          <w:sz w:val="29"/>
          <w:szCs w:val="29"/>
          <w:lang w:val="es-UY" w:eastAsia="es-UY"/>
        </w:rPr>
        <w:t>Apoteosis del yo</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Ya apuntó Hegel que al ser humano le resulta inherente el anhelo de afirmarse como una totalidad exclusiva en la conciencia del otro,</w:t>
      </w:r>
      <w:r w:rsidRPr="00567782">
        <w:rPr>
          <w:rFonts w:ascii="Verdana" w:eastAsia="Times New Roman" w:hAnsi="Verdana" w:cs="Times New Roman"/>
          <w:color w:val="222222"/>
          <w:sz w:val="23"/>
          <w:szCs w:val="23"/>
          <w:lang w:val="es-UY" w:eastAsia="es-UY"/>
        </w:rPr>
        <w:t> un ahínco por ser reconocido como tal totalidad por el otro: «Este anhelo —explica Han— no es la necesidad de anexionarse lo que no es el yo, sino que más bien busca reconocimiento y prestigio». Por eso, porque el otro, que también es un yo, guarda igualmente el mismo anhelo, se produce una suerte de «lucha entre dos totalidades». En este sentido, lo decisivo no es cómo se resuelve esa pugna en términos de superioridad física o destreza intelectual, sino como la capacidad para morir: «Quien carezca de esta resolución heroica, por miedo a perder la vida, no llegará hasta lo más extremo», puntualiza Han. Para morir también hay que arriesgarse: y lo que se arriesga es precisamente la propia vida.</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Tenemos que ser </w:t>
      </w:r>
      <w:r w:rsidRPr="00567782">
        <w:rPr>
          <w:rFonts w:ascii="Verdana" w:eastAsia="Times New Roman" w:hAnsi="Verdana" w:cs="Times New Roman"/>
          <w:b/>
          <w:bCs/>
          <w:i/>
          <w:iCs/>
          <w:color w:val="222222"/>
          <w:sz w:val="23"/>
          <w:szCs w:val="23"/>
          <w:lang w:val="es-UY" w:eastAsia="es-UY"/>
        </w:rPr>
        <w:t>capaces</w:t>
      </w:r>
      <w:r w:rsidRPr="00567782">
        <w:rPr>
          <w:rFonts w:ascii="Verdana" w:eastAsia="Times New Roman" w:hAnsi="Verdana" w:cs="Times New Roman"/>
          <w:b/>
          <w:bCs/>
          <w:color w:val="222222"/>
          <w:sz w:val="23"/>
          <w:szCs w:val="23"/>
          <w:lang w:val="es-UY" w:eastAsia="es-UY"/>
        </w:rPr>
        <w:t> de morir, de hacernos dignos de ese final inevitable.</w:t>
      </w:r>
      <w:r w:rsidRPr="00567782">
        <w:rPr>
          <w:rFonts w:ascii="Verdana" w:eastAsia="Times New Roman" w:hAnsi="Verdana" w:cs="Times New Roman"/>
          <w:color w:val="222222"/>
          <w:sz w:val="23"/>
          <w:szCs w:val="23"/>
          <w:lang w:val="es-UY" w:eastAsia="es-UY"/>
        </w:rPr>
        <w:t> Pues, defiende el filósofo de origen su</w:t>
      </w:r>
      <w:r>
        <w:rPr>
          <w:rFonts w:ascii="Verdana" w:eastAsia="Times New Roman" w:hAnsi="Verdana" w:cs="Times New Roman"/>
          <w:color w:val="222222"/>
          <w:sz w:val="23"/>
          <w:szCs w:val="23"/>
          <w:lang w:val="es-UY" w:eastAsia="es-UY"/>
        </w:rPr>
        <w:t>r</w:t>
      </w:r>
      <w:r w:rsidRPr="00567782">
        <w:rPr>
          <w:rFonts w:ascii="Verdana" w:eastAsia="Times New Roman" w:hAnsi="Verdana" w:cs="Times New Roman"/>
          <w:color w:val="222222"/>
          <w:sz w:val="23"/>
          <w:szCs w:val="23"/>
          <w:lang w:val="es-UY" w:eastAsia="es-UY"/>
        </w:rPr>
        <w:t>coreano, «quien no arriesga la vida sigue llevando una existencia meramente animal y atrapada en la naturaleza. Hegel habla de la necesidad de un cierto «suicidio». Hay que exponerse voluntariamente al peligro de morir». Es decir: hablamos de una libertad para morir. En virtud del hecho seguro de nuestra muerte, somos capaces de elevarnos por encima de nuestro estado de caída en la naturaleza: «La libertad como libertad para morir sería esta superioridad sobre la ‘existencia natural’. Ella promete la libertad de la autoconciencia autónoma».</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También Martin Heidegger tematizó la muerte como un contacto superlativo con nuestro yo,</w:t>
      </w:r>
      <w:r w:rsidRPr="00567782">
        <w:rPr>
          <w:rFonts w:ascii="Verdana" w:eastAsia="Times New Roman" w:hAnsi="Verdana" w:cs="Times New Roman"/>
          <w:color w:val="222222"/>
          <w:sz w:val="23"/>
          <w:szCs w:val="23"/>
          <w:lang w:val="es-UY" w:eastAsia="es-UY"/>
        </w:rPr>
        <w:t> pues poder morir es, al fin y al cabo, «poder ser sí mismo», conquistar la autonomía de nuestra existencia. Como explica el propio Heidegger en un conocido texto (</w:t>
      </w:r>
      <w:r w:rsidRPr="00567782">
        <w:rPr>
          <w:rFonts w:ascii="Verdana" w:eastAsia="Times New Roman" w:hAnsi="Verdana" w:cs="Times New Roman"/>
          <w:i/>
          <w:iCs/>
          <w:color w:val="222222"/>
          <w:sz w:val="23"/>
          <w:szCs w:val="23"/>
          <w:lang w:val="es-UY" w:eastAsia="es-UY"/>
        </w:rPr>
        <w:t>Prolegómenos para una historia del concepto de tiempo</w:t>
      </w:r>
      <w:r w:rsidRPr="00567782">
        <w:rPr>
          <w:rFonts w:ascii="Verdana" w:eastAsia="Times New Roman" w:hAnsi="Verdana" w:cs="Times New Roman"/>
          <w:color w:val="222222"/>
          <w:sz w:val="23"/>
          <w:szCs w:val="23"/>
          <w:lang w:val="es-UY" w:eastAsia="es-UY"/>
        </w:rPr>
        <w:t>), «con la muerte, que se da siempre sólo con </w:t>
      </w:r>
      <w:r w:rsidRPr="00567782">
        <w:rPr>
          <w:rFonts w:ascii="Verdana" w:eastAsia="Times New Roman" w:hAnsi="Verdana" w:cs="Times New Roman"/>
          <w:i/>
          <w:iCs/>
          <w:color w:val="222222"/>
          <w:sz w:val="23"/>
          <w:szCs w:val="23"/>
          <w:lang w:val="es-UY" w:eastAsia="es-UY"/>
        </w:rPr>
        <w:t>mi</w:t>
      </w:r>
      <w:r w:rsidRPr="00567782">
        <w:rPr>
          <w:rFonts w:ascii="Verdana" w:eastAsia="Times New Roman" w:hAnsi="Verdana" w:cs="Times New Roman"/>
          <w:color w:val="222222"/>
          <w:sz w:val="23"/>
          <w:szCs w:val="23"/>
          <w:lang w:val="es-UY" w:eastAsia="es-UY"/>
        </w:rPr>
        <w:t> morir, tengo delante de mí </w:t>
      </w:r>
      <w:r w:rsidRPr="00567782">
        <w:rPr>
          <w:rFonts w:ascii="Verdana" w:eastAsia="Times New Roman" w:hAnsi="Verdana" w:cs="Times New Roman"/>
          <w:i/>
          <w:iCs/>
          <w:color w:val="222222"/>
          <w:sz w:val="23"/>
          <w:szCs w:val="23"/>
          <w:lang w:val="es-UY" w:eastAsia="es-UY"/>
        </w:rPr>
        <w:t>mi ser más propio</w:t>
      </w:r>
      <w:r w:rsidRPr="00567782">
        <w:rPr>
          <w:rFonts w:ascii="Verdana" w:eastAsia="Times New Roman" w:hAnsi="Verdana" w:cs="Times New Roman"/>
          <w:color w:val="222222"/>
          <w:sz w:val="23"/>
          <w:szCs w:val="23"/>
          <w:lang w:val="es-UY" w:eastAsia="es-UY"/>
        </w:rPr>
        <w:t>, mi poder-ser de cualquier momento. El ser que yo seré en ‘lo último’ de mi </w:t>
      </w:r>
      <w:proofErr w:type="spellStart"/>
      <w:r w:rsidRPr="00567782">
        <w:rPr>
          <w:rFonts w:ascii="Verdana" w:eastAsia="Times New Roman" w:hAnsi="Verdana" w:cs="Times New Roman"/>
          <w:i/>
          <w:iCs/>
          <w:color w:val="222222"/>
          <w:sz w:val="23"/>
          <w:szCs w:val="23"/>
          <w:lang w:val="es-UY" w:eastAsia="es-UY"/>
        </w:rPr>
        <w:t>Dasein</w:t>
      </w:r>
      <w:proofErr w:type="spellEnd"/>
      <w:r w:rsidRPr="00567782">
        <w:rPr>
          <w:rFonts w:ascii="Verdana" w:eastAsia="Times New Roman" w:hAnsi="Verdana" w:cs="Times New Roman"/>
          <w:color w:val="222222"/>
          <w:sz w:val="23"/>
          <w:szCs w:val="23"/>
          <w:lang w:val="es-UY" w:eastAsia="es-UY"/>
        </w:rPr>
        <w:t> y que en cualquier momento puedo ser, esa posibilidad es mi ‘yo soy’ más propio, es decir, yo seré mi yo más propio».</w:t>
      </w:r>
    </w:p>
    <w:p w:rsidR="00567782" w:rsidRPr="00567782" w:rsidRDefault="00567782" w:rsidP="00567782">
      <w:pPr>
        <w:spacing w:before="360" w:after="210" w:line="435" w:lineRule="atLeast"/>
        <w:jc w:val="both"/>
        <w:outlineLvl w:val="3"/>
        <w:rPr>
          <w:rFonts w:ascii="Arial" w:eastAsia="Times New Roman" w:hAnsi="Arial" w:cs="Arial"/>
          <w:color w:val="111111"/>
          <w:sz w:val="29"/>
          <w:szCs w:val="29"/>
          <w:lang w:val="es-UY" w:eastAsia="es-UY"/>
        </w:rPr>
      </w:pPr>
      <w:r w:rsidRPr="00567782">
        <w:rPr>
          <w:rFonts w:ascii="Arial" w:eastAsia="Times New Roman" w:hAnsi="Arial" w:cs="Arial"/>
          <w:b/>
          <w:bCs/>
          <w:color w:val="111111"/>
          <w:sz w:val="29"/>
          <w:szCs w:val="29"/>
          <w:lang w:val="es-UY" w:eastAsia="es-UY"/>
        </w:rPr>
        <w:t>Conciencia de mortalidad</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proofErr w:type="spellStart"/>
      <w:r w:rsidRPr="00567782">
        <w:rPr>
          <w:rFonts w:ascii="Verdana" w:eastAsia="Times New Roman" w:hAnsi="Verdana" w:cs="Times New Roman"/>
          <w:b/>
          <w:bCs/>
          <w:color w:val="222222"/>
          <w:sz w:val="23"/>
          <w:szCs w:val="23"/>
          <w:lang w:val="es-UY" w:eastAsia="es-UY"/>
        </w:rPr>
        <w:t>Byung-Chul</w:t>
      </w:r>
      <w:proofErr w:type="spellEnd"/>
      <w:r w:rsidRPr="00567782">
        <w:rPr>
          <w:rFonts w:ascii="Verdana" w:eastAsia="Times New Roman" w:hAnsi="Verdana" w:cs="Times New Roman"/>
          <w:b/>
          <w:bCs/>
          <w:color w:val="222222"/>
          <w:sz w:val="23"/>
          <w:szCs w:val="23"/>
          <w:lang w:val="es-UY" w:eastAsia="es-UY"/>
        </w:rPr>
        <w:t xml:space="preserve"> Han traza en este imprescindible libro una lúcida ruta</w:t>
      </w:r>
      <w:r w:rsidRPr="00567782">
        <w:rPr>
          <w:rFonts w:ascii="Verdana" w:eastAsia="Times New Roman" w:hAnsi="Verdana" w:cs="Times New Roman"/>
          <w:color w:val="222222"/>
          <w:sz w:val="23"/>
          <w:szCs w:val="23"/>
          <w:lang w:val="es-UY" w:eastAsia="es-UY"/>
        </w:rPr>
        <w:t> para, a través de diversos textos de la historia de la filosofía y pertrechados de nuestras herramientas intelectuales, poner el espacio necesario entre la vida y la muerte de manera que esta pueda pensarse no como un evento al que estamos supeditados o, más crudamente, condenados, sino como un acontecimiento al que debemos aprender a decir sí con toda clarividencia. Cuando nos situamos ante ella, o cuando parece ya inevitable, nos cercioramos de nosotros mismos, de que nosotros </w:t>
      </w:r>
      <w:r w:rsidRPr="00567782">
        <w:rPr>
          <w:rFonts w:ascii="Verdana" w:eastAsia="Times New Roman" w:hAnsi="Verdana" w:cs="Times New Roman"/>
          <w:i/>
          <w:iCs/>
          <w:color w:val="222222"/>
          <w:sz w:val="23"/>
          <w:szCs w:val="23"/>
          <w:lang w:val="es-UY" w:eastAsia="es-UY"/>
        </w:rPr>
        <w:t>somos</w:t>
      </w:r>
      <w:r w:rsidRPr="00567782">
        <w:rPr>
          <w:rFonts w:ascii="Verdana" w:eastAsia="Times New Roman" w:hAnsi="Verdana" w:cs="Times New Roman"/>
          <w:color w:val="222222"/>
          <w:sz w:val="23"/>
          <w:szCs w:val="23"/>
          <w:lang w:val="es-UY" w:eastAsia="es-UY"/>
        </w:rPr>
        <w:t>. La muerte humana es algo exclusivamente individual, que se vive en términos individuales, y no gregarios. Eso quiere decir Heidegger cuando apunta a que la muerte, lejos de ser el final definitivo del yo, es todo lo contrario: un énfasis del yo, que crece y se alimenta a base de angustia.</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Un volumen en el que Han ahonda en la compleja y rica relación entre muerte, poder, identidad y transformación,</w:t>
      </w:r>
      <w:r w:rsidRPr="00567782">
        <w:rPr>
          <w:rFonts w:ascii="Verdana" w:eastAsia="Times New Roman" w:hAnsi="Verdana" w:cs="Times New Roman"/>
          <w:color w:val="222222"/>
          <w:sz w:val="23"/>
          <w:szCs w:val="23"/>
          <w:lang w:val="es-UY" w:eastAsia="es-UY"/>
        </w:rPr>
        <w:t xml:space="preserve"> desde la dimensión interpersonal hasta los procesos de conocimiento y de juicio, y en la que discute tesis como la anteriormente expuesta de Heidegger, contrapuesta, por ejemplo, a la de </w:t>
      </w:r>
      <w:proofErr w:type="spellStart"/>
      <w:r w:rsidRPr="00567782">
        <w:rPr>
          <w:rFonts w:ascii="Verdana" w:eastAsia="Times New Roman" w:hAnsi="Verdana" w:cs="Times New Roman"/>
          <w:color w:val="222222"/>
          <w:sz w:val="23"/>
          <w:szCs w:val="23"/>
          <w:lang w:val="es-UY" w:eastAsia="es-UY"/>
        </w:rPr>
        <w:t>Lévinas</w:t>
      </w:r>
      <w:proofErr w:type="spellEnd"/>
      <w:r w:rsidRPr="00567782">
        <w:rPr>
          <w:rFonts w:ascii="Verdana" w:eastAsia="Times New Roman" w:hAnsi="Verdana" w:cs="Times New Roman"/>
          <w:color w:val="222222"/>
          <w:sz w:val="23"/>
          <w:szCs w:val="23"/>
          <w:lang w:val="es-UY" w:eastAsia="es-UY"/>
        </w:rPr>
        <w:t xml:space="preserve">. Este defendía que la muerte pone de relieve, al contrario, nuestra dimensión más interpersonal, y que por tanto es un suceso ético. El suceso ético por antonomasia: «El amor al otro es la emoción por la muerte del otro. Es mi forma de acoger al prójimo, y no la angustia de la muerte que me espera, lo que constituye la referencia a la muerte. Nos encontramos con la muerte en el rostro de los demás». Por eso, para </w:t>
      </w:r>
      <w:proofErr w:type="spellStart"/>
      <w:r w:rsidRPr="00567782">
        <w:rPr>
          <w:rFonts w:ascii="Verdana" w:eastAsia="Times New Roman" w:hAnsi="Verdana" w:cs="Times New Roman"/>
          <w:color w:val="222222"/>
          <w:sz w:val="23"/>
          <w:szCs w:val="23"/>
          <w:lang w:val="es-UY" w:eastAsia="es-UY"/>
        </w:rPr>
        <w:t>Lévinas</w:t>
      </w:r>
      <w:proofErr w:type="spellEnd"/>
      <w:r w:rsidRPr="00567782">
        <w:rPr>
          <w:rFonts w:ascii="Verdana" w:eastAsia="Times New Roman" w:hAnsi="Verdana" w:cs="Times New Roman"/>
          <w:color w:val="222222"/>
          <w:sz w:val="23"/>
          <w:szCs w:val="23"/>
          <w:lang w:val="es-UY" w:eastAsia="es-UY"/>
        </w:rPr>
        <w:t>, la muerte no nos encierra en el yo, sino en la referencialidad, en la apelación a los otros.</w:t>
      </w:r>
    </w:p>
    <w:p w:rsidR="00567782" w:rsidRPr="00567782" w:rsidRDefault="00567782" w:rsidP="00567782">
      <w:pPr>
        <w:spacing w:after="390" w:line="390" w:lineRule="atLeast"/>
        <w:jc w:val="both"/>
        <w:rPr>
          <w:rFonts w:ascii="Verdana" w:eastAsia="Times New Roman" w:hAnsi="Verdana" w:cs="Times New Roman"/>
          <w:color w:val="222222"/>
          <w:sz w:val="23"/>
          <w:szCs w:val="23"/>
          <w:lang w:val="es-UY" w:eastAsia="es-UY"/>
        </w:rPr>
      </w:pPr>
      <w:r w:rsidRPr="00567782">
        <w:rPr>
          <w:rFonts w:ascii="Verdana" w:eastAsia="Times New Roman" w:hAnsi="Verdana" w:cs="Times New Roman"/>
          <w:b/>
          <w:bCs/>
          <w:color w:val="222222"/>
          <w:sz w:val="23"/>
          <w:szCs w:val="23"/>
          <w:lang w:val="es-UY" w:eastAsia="es-UY"/>
        </w:rPr>
        <w:t>Pero el auténtico valor de este libro reside en que Han no sólo se limita a exponer estas y otras teorías del pasado sobre la muerte, sino que se atreve a proponer la suya.</w:t>
      </w:r>
      <w:r w:rsidRPr="00567782">
        <w:rPr>
          <w:rFonts w:ascii="Verdana" w:eastAsia="Times New Roman" w:hAnsi="Verdana" w:cs="Times New Roman"/>
          <w:color w:val="222222"/>
          <w:sz w:val="23"/>
          <w:szCs w:val="23"/>
          <w:lang w:val="es-UY" w:eastAsia="es-UY"/>
        </w:rPr>
        <w:t xml:space="preserve"> Una teoría muy pertinente y </w:t>
      </w:r>
      <w:proofErr w:type="gramStart"/>
      <w:r w:rsidRPr="00567782">
        <w:rPr>
          <w:rFonts w:ascii="Verdana" w:eastAsia="Times New Roman" w:hAnsi="Verdana" w:cs="Times New Roman"/>
          <w:color w:val="222222"/>
          <w:sz w:val="23"/>
          <w:szCs w:val="23"/>
          <w:lang w:val="es-UY" w:eastAsia="es-UY"/>
        </w:rPr>
        <w:t>a</w:t>
      </w:r>
      <w:proofErr w:type="gramEnd"/>
      <w:r w:rsidRPr="00567782">
        <w:rPr>
          <w:rFonts w:ascii="Verdana" w:eastAsia="Times New Roman" w:hAnsi="Verdana" w:cs="Times New Roman"/>
          <w:color w:val="222222"/>
          <w:sz w:val="23"/>
          <w:szCs w:val="23"/>
          <w:lang w:val="es-UY" w:eastAsia="es-UY"/>
        </w:rPr>
        <w:t xml:space="preserve"> tener en cuenta en tiempos de enorme tensión social, sanitaria y política. En ella, Han defiende que el hecho de la muerte ha de constituir un modo de tomar conciencia de la mortalidad que conduzca a la serenidad (en términos individuales), de forma que la experiencia de la finitud repercuta también en el otro como afabilidad (en términos sociales). Como ya se ha apuntado, estamos ante uno de los textos más desconocidos, pero sin duda más enriquecedores, de este filósofo de origen surcoreano. Un imprescindible en cualquier biblioteca del pensamiento contemporáneo.</w:t>
      </w:r>
    </w:p>
    <w:p w:rsidR="002E2F5B" w:rsidRDefault="00567782">
      <w:hyperlink r:id="rId6" w:history="1">
        <w:r>
          <w:rPr>
            <w:rStyle w:val="Hipervnculo"/>
          </w:rPr>
          <w:t>https://www.filco.es/byung-chul-han-piensa-la-muerte/?fbclid=IwAR2A0CvPP_5Y94mzH6oydhXEGtzwMUAwB0kkhStHryID_8aY3TBSSAxaYwc</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TC Fenice St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82"/>
    <w:rsid w:val="002E2F5B"/>
    <w:rsid w:val="0056778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90378"/>
  <w15:chartTrackingRefBased/>
  <w15:docId w15:val="{DAF23426-7449-4B9B-A7FD-24B3A3A7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677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39796">
      <w:bodyDiv w:val="1"/>
      <w:marLeft w:val="0"/>
      <w:marRight w:val="0"/>
      <w:marTop w:val="0"/>
      <w:marBottom w:val="0"/>
      <w:divBdr>
        <w:top w:val="none" w:sz="0" w:space="0" w:color="auto"/>
        <w:left w:val="none" w:sz="0" w:space="0" w:color="auto"/>
        <w:bottom w:val="none" w:sz="0" w:space="0" w:color="auto"/>
        <w:right w:val="none" w:sz="0" w:space="0" w:color="auto"/>
      </w:divBdr>
      <w:divsChild>
        <w:div w:id="1089237076">
          <w:marLeft w:val="0"/>
          <w:marRight w:val="0"/>
          <w:marTop w:val="0"/>
          <w:marBottom w:val="0"/>
          <w:divBdr>
            <w:top w:val="none" w:sz="0" w:space="0" w:color="auto"/>
            <w:left w:val="none" w:sz="0" w:space="0" w:color="auto"/>
            <w:bottom w:val="none" w:sz="0" w:space="0" w:color="auto"/>
            <w:right w:val="none" w:sz="0" w:space="0" w:color="auto"/>
          </w:divBdr>
          <w:divsChild>
            <w:div w:id="394469573">
              <w:marLeft w:val="0"/>
              <w:marRight w:val="0"/>
              <w:marTop w:val="0"/>
              <w:marBottom w:val="240"/>
              <w:divBdr>
                <w:top w:val="none" w:sz="0" w:space="0" w:color="auto"/>
                <w:left w:val="none" w:sz="0" w:space="0" w:color="auto"/>
                <w:bottom w:val="none" w:sz="0" w:space="0" w:color="auto"/>
                <w:right w:val="none" w:sz="0" w:space="0" w:color="auto"/>
              </w:divBdr>
              <w:divsChild>
                <w:div w:id="663973599">
                  <w:marLeft w:val="0"/>
                  <w:marRight w:val="0"/>
                  <w:marTop w:val="0"/>
                  <w:marBottom w:val="0"/>
                  <w:divBdr>
                    <w:top w:val="none" w:sz="0" w:space="0" w:color="auto"/>
                    <w:left w:val="none" w:sz="0" w:space="0" w:color="auto"/>
                    <w:bottom w:val="none" w:sz="0" w:space="0" w:color="auto"/>
                    <w:right w:val="none" w:sz="0" w:space="0" w:color="auto"/>
                  </w:divBdr>
                  <w:divsChild>
                    <w:div w:id="148526773">
                      <w:marLeft w:val="0"/>
                      <w:marRight w:val="30"/>
                      <w:marTop w:val="0"/>
                      <w:marBottom w:val="0"/>
                      <w:divBdr>
                        <w:top w:val="none" w:sz="0" w:space="0" w:color="auto"/>
                        <w:left w:val="none" w:sz="0" w:space="0" w:color="auto"/>
                        <w:bottom w:val="none" w:sz="0" w:space="0" w:color="auto"/>
                        <w:right w:val="none" w:sz="0" w:space="0" w:color="auto"/>
                      </w:divBdr>
                    </w:div>
                    <w:div w:id="5809607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68599739">
          <w:marLeft w:val="0"/>
          <w:marRight w:val="0"/>
          <w:marTop w:val="0"/>
          <w:marBottom w:val="315"/>
          <w:divBdr>
            <w:top w:val="none" w:sz="0" w:space="0" w:color="auto"/>
            <w:left w:val="none" w:sz="0" w:space="0" w:color="auto"/>
            <w:bottom w:val="none" w:sz="0" w:space="0" w:color="auto"/>
            <w:right w:val="none" w:sz="0" w:space="0" w:color="auto"/>
          </w:divBdr>
          <w:divsChild>
            <w:div w:id="2030183660">
              <w:marLeft w:val="0"/>
              <w:marRight w:val="0"/>
              <w:marTop w:val="0"/>
              <w:marBottom w:val="0"/>
              <w:divBdr>
                <w:top w:val="none" w:sz="0" w:space="0" w:color="auto"/>
                <w:left w:val="none" w:sz="0" w:space="0" w:color="auto"/>
                <w:bottom w:val="none" w:sz="0" w:space="0" w:color="auto"/>
                <w:right w:val="none" w:sz="0" w:space="0" w:color="auto"/>
              </w:divBdr>
            </w:div>
          </w:divsChild>
        </w:div>
        <w:div w:id="501358762">
          <w:marLeft w:val="0"/>
          <w:marRight w:val="0"/>
          <w:marTop w:val="315"/>
          <w:marBottom w:val="0"/>
          <w:divBdr>
            <w:top w:val="none" w:sz="0" w:space="0" w:color="auto"/>
            <w:left w:val="none" w:sz="0" w:space="0" w:color="auto"/>
            <w:bottom w:val="none" w:sz="0" w:space="0" w:color="auto"/>
            <w:right w:val="none" w:sz="0" w:space="0" w:color="auto"/>
          </w:divBdr>
          <w:divsChild>
            <w:div w:id="1002466337">
              <w:marLeft w:val="0"/>
              <w:marRight w:val="0"/>
              <w:marTop w:val="0"/>
              <w:marBottom w:val="0"/>
              <w:divBdr>
                <w:top w:val="none" w:sz="0" w:space="0" w:color="auto"/>
                <w:left w:val="none" w:sz="0" w:space="0" w:color="auto"/>
                <w:bottom w:val="none" w:sz="0" w:space="0" w:color="auto"/>
                <w:right w:val="none" w:sz="0" w:space="0" w:color="auto"/>
              </w:divBdr>
            </w:div>
            <w:div w:id="1325548314">
              <w:blockQuote w:val="1"/>
              <w:marLeft w:val="522"/>
              <w:marRight w:val="522"/>
              <w:marTop w:val="600"/>
              <w:marBottom w:val="570"/>
              <w:divBdr>
                <w:top w:val="none" w:sz="0" w:space="0" w:color="auto"/>
                <w:left w:val="none" w:sz="0" w:space="0" w:color="auto"/>
                <w:bottom w:val="none" w:sz="0" w:space="0" w:color="auto"/>
                <w:right w:val="none" w:sz="0" w:space="0" w:color="auto"/>
              </w:divBdr>
            </w:div>
            <w:div w:id="1614703792">
              <w:blockQuote w:val="1"/>
              <w:marLeft w:val="522"/>
              <w:marRight w:val="522"/>
              <w:marTop w:val="600"/>
              <w:marBottom w:val="570"/>
              <w:divBdr>
                <w:top w:val="none" w:sz="0" w:space="0" w:color="auto"/>
                <w:left w:val="none" w:sz="0" w:space="0" w:color="auto"/>
                <w:bottom w:val="none" w:sz="0" w:space="0" w:color="auto"/>
                <w:right w:val="none" w:sz="0" w:space="0" w:color="auto"/>
              </w:divBdr>
            </w:div>
            <w:div w:id="106706995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ilco.es/byung-chul-han-piensa-la-muerte/?fbclid=IwAR2A0CvPP_5Y94mzH6oydhXEGtzwMUAwB0kkhStHryID_8aY3TBSSAxaYwc" TargetMode="External"/><Relationship Id="rId5" Type="http://schemas.openxmlformats.org/officeDocument/2006/relationships/image" Target="media/image1.jpeg"/><Relationship Id="rId4" Type="http://schemas.openxmlformats.org/officeDocument/2006/relationships/hyperlink" Target="https://www.filco.es/wp-content/uploads/sites/4/2020/03/man-2106810_1280-e1585300122995.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1131</Words>
  <Characters>6224</Characters>
  <Application>Microsoft Office Word</Application>
  <DocSecurity>0</DocSecurity>
  <Lines>51</Lines>
  <Paragraphs>14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Byung-Chul Han piensa la muerte</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2020-06-22T19:05:00Z</dcterms:created>
  <dcterms:modified xsi:type="dcterms:W3CDTF">2020-06-22T19:14:00Z</dcterms:modified>
</cp:coreProperties>
</file>