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</w:pPr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La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moniale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belge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Marie-Jean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Noville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comprend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l'initiative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d'Anne</w:t>
      </w:r>
      <w:proofErr w:type="spellEnd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b/>
          <w:bCs/>
          <w:color w:val="24292E"/>
          <w:spacing w:val="30"/>
          <w:kern w:val="36"/>
          <w:sz w:val="40"/>
          <w:szCs w:val="40"/>
          <w:lang w:val="es-UY" w:eastAsia="es-UY"/>
        </w:rPr>
        <w:t>Soupa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</w:pPr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La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postulation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d’Anne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Soupa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au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poste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d’archevêque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de Lyon a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réactivé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le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débat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sur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l’ordination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des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femmes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dans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l’Eglise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catholique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.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Interrogée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par le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média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catholique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belge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 </w:t>
      </w:r>
      <w:proofErr w:type="spellStart"/>
      <w:r w:rsidRPr="00E234F1">
        <w:rPr>
          <w:rFonts w:ascii="Roboto" w:eastAsia="Times New Roman" w:hAnsi="Roboto" w:cs="Arial"/>
          <w:b/>
          <w:bCs/>
          <w:i/>
          <w:iCs/>
          <w:color w:val="24292E"/>
          <w:sz w:val="24"/>
          <w:szCs w:val="24"/>
          <w:lang w:val="es-UY" w:eastAsia="es-UY"/>
        </w:rPr>
        <w:t>Cathobel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,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Sœur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Marie-Jean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Noville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estime que «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l’Eglise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doit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prendre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son geste en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compte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car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il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est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posé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dans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un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>souci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z w:val="24"/>
          <w:szCs w:val="24"/>
          <w:lang w:val="es-UY" w:eastAsia="es-UY"/>
        </w:rPr>
        <w:t xml:space="preserve"> pastoral».   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Moniale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bénédictine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du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couvent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Hurtebise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près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Saint-Hubert,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Ardennes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belges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Sœur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Marie-Jean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Noville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Rocourt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diocèse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Liège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le 17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décembre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1975. Elle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active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sein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du Centre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National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Vocations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(CNV) qui participe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notamment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aux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initiatives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pastorales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aux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rassemblements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diocèses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belges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francophones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(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Bruxelles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Tournai, Namur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Liège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).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«Ce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genre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d’initiative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peut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secouer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notre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Eglise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»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jeune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religieuse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«ce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genre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d’initiative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secouer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Les gestes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forts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peuvent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changer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donne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Ils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amènent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déjà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réfléchir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ouvrent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nouvelles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voies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trouve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démarche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d’Anne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Soupa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respectueuse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c’est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femme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aime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servie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pendant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35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elle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formée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apporte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réflexion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dispose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d’une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pratique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pastorale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longue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durée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n’agit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iconoclaste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servir et non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détruire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  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«Dans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cette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question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l’ordination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–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mariés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aussi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ajouterais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-je -,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y 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cette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question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: </w:t>
      </w:r>
      <w:proofErr w:type="gram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faisons-nous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?</w:t>
      </w:r>
      <w:proofErr w:type="gram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Réserver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aux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c’est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tenir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compte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réalités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reçoivent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elles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besoin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Par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exemple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concret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du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confinement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besoins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réalités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des manques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l’impossibilité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célébrer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Plus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d’eucharistie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depuis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le 13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mars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Au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monastère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-Dame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d’Hurtebise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n’y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a plus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d’eucharistie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depuis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13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«Nous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avions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pourtant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possibilité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assigner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résident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respect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lastRenderedPageBreak/>
        <w:t xml:space="preserve">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règles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sanitaires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relève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Sœur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Marie-Jean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Noville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cela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revenait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accepter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privilège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puisque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serions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seules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bénéficier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refusé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bénédictines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donc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recentrées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sur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liturgie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heures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reçoivent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dimanche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jours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solennité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.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Ainsi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remis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parole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Dieu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centre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vie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liturgique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Désir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de devenir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prêtre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Quand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17-18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future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religieuse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personnellement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ressenti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désir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devenir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.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J’avais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vraiment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fort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désir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voulais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écrire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lettre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pape.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J’en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discuté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paroisse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interpellé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lettre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Nous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écrit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cardinal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Danneels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renvoyés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vers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l’évêque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diocésain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courrier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resté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réponse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Alors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suis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allée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rencontrer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cardinal. Et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réponse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 non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catégorique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: ‘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Ça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exister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’».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Puisque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pouvaient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exister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alors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n’était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possible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ressente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appel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l’époque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j’ai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dû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me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résoudre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aujourd’hui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recul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trouve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l’argumentation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était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faible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rien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m’a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proposé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J’ai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continué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cultiver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j’ai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poursuivi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chemin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devenir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moniale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Ne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pas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alimenter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le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cléricalisme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ambiant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«La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question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brûlante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l’ordination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je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regarde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différemment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moniale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je me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: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pourquoi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tenir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davantage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compte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besoins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effectivement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alimenter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cléricalisme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ambiant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regarder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tout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besoins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souci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pastoral.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mettre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centre du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débat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droit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recevoir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l’eucharistie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recevoir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Jésus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aussi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d’autres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sacrements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n’importe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donner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sacrements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personnes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formées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pratique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pastorale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éprouvée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accompagné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personnes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leur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délivreraient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exemple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malades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réconciliation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cela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permettrait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d’assurer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continuité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d’achever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geste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sacramentel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Recevoir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confession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c’est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déjà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un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sacrement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du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frère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Sœur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Marie-Jean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Noville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d’affirmer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moniales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bénédictines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faire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appel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un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extérieur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célébrations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eucharistiques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pose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question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Dans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règle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saint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Benoît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suggère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d’ordonner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service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Pourquoi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Prieure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habilitée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reconnue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pourrait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-elle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désigner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sein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personnes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aptes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rendre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service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?»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Les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femmes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ont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souvent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été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traitées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comme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des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êtres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inférieurs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question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l’ordination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bénédictines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-Dame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d’Hurtebise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parlent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communauté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rarement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prêtres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«Je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toutefois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les avis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évolué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notamment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exprimé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Père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jésuite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Charles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Delhez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journal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français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Croix».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religieuse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belge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rappelle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en ce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concerne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rôle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la femme et la discipline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«ce qui 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vivait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Palestine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siècle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n’a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rien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avec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ce 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vivons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aujourd’hui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Europe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voit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bien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cours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l’Histoire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souvent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été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traitées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êtres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inférieurs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Certains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perdre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leur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pouvoir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D’autres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préfèrent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réfléchir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s’enliser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confort des habitudes et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traditions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</w:pP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Jésus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accueillait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les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hommes</w:t>
      </w:r>
      <w:proofErr w:type="spellEnd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 xml:space="preserve"> et les </w:t>
      </w:r>
      <w:proofErr w:type="spellStart"/>
      <w:r w:rsidRPr="00E234F1">
        <w:rPr>
          <w:rFonts w:ascii="Roboto" w:eastAsia="Times New Roman" w:hAnsi="Roboto" w:cs="Arial"/>
          <w:b/>
          <w:bCs/>
          <w:color w:val="24292E"/>
          <w:spacing w:val="15"/>
          <w:sz w:val="36"/>
          <w:szCs w:val="36"/>
          <w:lang w:val="es-UY" w:eastAsia="es-UY"/>
        </w:rPr>
        <w:t>femmes</w:t>
      </w:r>
      <w:proofErr w:type="spellEnd"/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souligne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moniale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bénédictine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Jésus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accueillait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.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Certes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calquer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sur ce qui 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vivait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son époque,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mais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reconnaître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Christ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abattu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frontières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que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suivaient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qu’elles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recueilli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première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annonce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Résurrection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».</w:t>
      </w:r>
    </w:p>
    <w:p w:rsidR="00E234F1" w:rsidRPr="00E234F1" w:rsidRDefault="00E234F1" w:rsidP="00E234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Sœur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Marie-Jean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Noville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pense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qu’il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faut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aussi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abandonner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cette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idée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complémentarité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‘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ensemble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’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confusion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amener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chacun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créativité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son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imagination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son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souci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pastoral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différent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.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Comme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Trinité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formée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personnes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unies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proches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lutte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concurrence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».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Pourquoi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pourraient-ils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avancer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ensemble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se demande-t-elle ?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réjouir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encourage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présence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femmes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corps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professoraux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séminaires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,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mettre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fin à un monde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d’hommes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qui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pensent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planifient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entre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eux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».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elle, le geste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d’Anne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Soupa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et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d’autres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font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avancer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choses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, car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dire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librement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opinion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ne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peut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faire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avancer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». La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religieuse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belge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prier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«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l’Esprit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Saint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continue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souffler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sur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l’Eglise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pour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ouvrir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portes». (cath.ch/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cathobel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/be)</w:t>
      </w:r>
    </w:p>
    <w:p w:rsidR="00E234F1" w:rsidRPr="00E234F1" w:rsidRDefault="00E234F1" w:rsidP="00E23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© Centre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catholique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médias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Cath-Info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, 10.06.2020</w:t>
      </w:r>
    </w:p>
    <w:p w:rsidR="00E234F1" w:rsidRDefault="00E234F1" w:rsidP="00E23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Les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droits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l’ensemble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des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contenus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site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déposés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à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Cath-Info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Toute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diffusion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texte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, de son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ou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d’image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sur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quelque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support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que ce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soit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payante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.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L’enregistrement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dans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d’autres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bases de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données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est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 xml:space="preserve"> </w:t>
      </w:r>
      <w:proofErr w:type="spellStart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interdit</w:t>
      </w:r>
      <w:proofErr w:type="spellEnd"/>
      <w:r w:rsidRPr="00E234F1"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  <w:t>.</w:t>
      </w:r>
    </w:p>
    <w:p w:rsidR="00E234F1" w:rsidRDefault="00E234F1" w:rsidP="00E23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</w:p>
    <w:p w:rsidR="00E234F1" w:rsidRPr="00E234F1" w:rsidRDefault="00E234F1" w:rsidP="00E234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9"/>
          <w:szCs w:val="29"/>
          <w:lang w:val="es-UY" w:eastAsia="es-UY"/>
        </w:rPr>
      </w:pPr>
      <w:hyperlink r:id="rId4" w:history="1">
        <w:r>
          <w:rPr>
            <w:rStyle w:val="Hipervnculo"/>
          </w:rPr>
          <w:t>https://www.cath.ch/newsf/la-moniale-belge-marie-jean-noville-comprend-linitiative-danne-soupa/</w:t>
        </w:r>
      </w:hyperlink>
      <w:bookmarkStart w:id="0" w:name="_GoBack"/>
      <w:bookmarkEnd w:id="0"/>
    </w:p>
    <w:sectPr w:rsidR="00E234F1" w:rsidRPr="00E23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1"/>
    <w:rsid w:val="002E2F5B"/>
    <w:rsid w:val="00E2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BD72"/>
  <w15:chartTrackingRefBased/>
  <w15:docId w15:val="{D1D7AF61-40F6-4AE4-8D92-3801ADFD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3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7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1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2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7832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0" w:color="9696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4688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0" w:color="9696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7696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0" w:color="9696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186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0" w:color="9696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1783">
                      <w:marLeft w:val="-225"/>
                      <w:marRight w:val="-225"/>
                      <w:marTop w:val="0"/>
                      <w:marBottom w:val="0"/>
                      <w:divBdr>
                        <w:top w:val="single" w:sz="6" w:space="0" w:color="96969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8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th.ch/newsf/la-moniale-belge-marie-jean-noville-comprend-linitiative-danne-soup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La moniale belge Marie-Jean Noville comprend l'initiative d'Anne Soupa</vt:lpstr>
      <vt:lpstr>    «Ce genre d’initiative peut secouer notre Eglise»</vt:lpstr>
      <vt:lpstr>    Plus d’eucharistie depuis le 13 mars</vt:lpstr>
      <vt:lpstr>    Désir de devenir prêtre</vt:lpstr>
      <vt:lpstr>    Ne pas alimenter le cléricalisme ambiant</vt:lpstr>
      <vt:lpstr>    Les femmes ont souvent été traitées comme des êtres inférieurs</vt:lpstr>
      <vt:lpstr>    Jésus accueillait les hommes et les femmes</vt:lpstr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2020-06-11T13:38:00Z</dcterms:created>
  <dcterms:modified xsi:type="dcterms:W3CDTF">2020-06-11T13:44:00Z</dcterms:modified>
</cp:coreProperties>
</file>