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D26" w:rsidRPr="00B36D26" w:rsidRDefault="00B36D26" w:rsidP="00B36D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D7D31" w:themeColor="accent2"/>
          <w:kern w:val="36"/>
          <w:sz w:val="52"/>
          <w:szCs w:val="52"/>
          <w:lang w:val="es-UY" w:eastAsia="es-UY"/>
        </w:rPr>
      </w:pPr>
      <w:proofErr w:type="spellStart"/>
      <w:r w:rsidRPr="00B36D26">
        <w:rPr>
          <w:rFonts w:ascii="Times New Roman" w:eastAsia="Times New Roman" w:hAnsi="Times New Roman" w:cs="Times New Roman"/>
          <w:b/>
          <w:bCs/>
          <w:color w:val="ED7D31" w:themeColor="accent2"/>
          <w:kern w:val="36"/>
          <w:sz w:val="52"/>
          <w:szCs w:val="52"/>
          <w:lang w:val="es-UY" w:eastAsia="es-UY"/>
        </w:rPr>
        <w:t>Vírus</w:t>
      </w:r>
      <w:proofErr w:type="spellEnd"/>
      <w:r w:rsidRPr="00B36D26">
        <w:rPr>
          <w:rFonts w:ascii="Times New Roman" w:eastAsia="Times New Roman" w:hAnsi="Times New Roman" w:cs="Times New Roman"/>
          <w:b/>
          <w:bCs/>
          <w:color w:val="ED7D31" w:themeColor="accent2"/>
          <w:kern w:val="36"/>
          <w:sz w:val="52"/>
          <w:szCs w:val="52"/>
          <w:lang w:val="es-UY" w:eastAsia="es-UY"/>
        </w:rPr>
        <w:t xml:space="preserve"> e </w:t>
      </w:r>
      <w:proofErr w:type="spellStart"/>
      <w:r w:rsidRPr="00B36D26">
        <w:rPr>
          <w:rFonts w:ascii="Times New Roman" w:eastAsia="Times New Roman" w:hAnsi="Times New Roman" w:cs="Times New Roman"/>
          <w:b/>
          <w:bCs/>
          <w:color w:val="ED7D31" w:themeColor="accent2"/>
          <w:kern w:val="36"/>
          <w:sz w:val="52"/>
          <w:szCs w:val="52"/>
          <w:lang w:val="es-UY" w:eastAsia="es-UY"/>
        </w:rPr>
        <w:t>fé</w:t>
      </w:r>
      <w:proofErr w:type="spellEnd"/>
      <w:r w:rsidRPr="00B36D26">
        <w:rPr>
          <w:rFonts w:ascii="Times New Roman" w:eastAsia="Times New Roman" w:hAnsi="Times New Roman" w:cs="Times New Roman"/>
          <w:b/>
          <w:bCs/>
          <w:color w:val="ED7D31" w:themeColor="accent2"/>
          <w:kern w:val="36"/>
          <w:sz w:val="52"/>
          <w:szCs w:val="52"/>
          <w:lang w:val="es-UY" w:eastAsia="es-UY"/>
        </w:rPr>
        <w:t xml:space="preserve">: tripla </w:t>
      </w:r>
      <w:proofErr w:type="spellStart"/>
      <w:r w:rsidRPr="00B36D26">
        <w:rPr>
          <w:rFonts w:ascii="Times New Roman" w:eastAsia="Times New Roman" w:hAnsi="Times New Roman" w:cs="Times New Roman"/>
          <w:b/>
          <w:bCs/>
          <w:color w:val="ED7D31" w:themeColor="accent2"/>
          <w:kern w:val="36"/>
          <w:sz w:val="52"/>
          <w:szCs w:val="52"/>
          <w:lang w:val="es-UY" w:eastAsia="es-UY"/>
        </w:rPr>
        <w:t>correspondência</w:t>
      </w:r>
      <w:proofErr w:type="spellEnd"/>
      <w:r w:rsidRPr="00B36D26">
        <w:rPr>
          <w:rFonts w:ascii="Times New Roman" w:eastAsia="Times New Roman" w:hAnsi="Times New Roman" w:cs="Times New Roman"/>
          <w:b/>
          <w:bCs/>
          <w:color w:val="ED7D31" w:themeColor="accent2"/>
          <w:kern w:val="36"/>
          <w:sz w:val="52"/>
          <w:szCs w:val="52"/>
          <w:lang w:val="es-UY" w:eastAsia="es-UY"/>
        </w:rPr>
        <w:t xml:space="preserve"> </w:t>
      </w:r>
      <w:proofErr w:type="spellStart"/>
      <w:r w:rsidRPr="00B36D26">
        <w:rPr>
          <w:rFonts w:ascii="Times New Roman" w:eastAsia="Times New Roman" w:hAnsi="Times New Roman" w:cs="Times New Roman"/>
          <w:b/>
          <w:bCs/>
          <w:color w:val="ED7D31" w:themeColor="accent2"/>
          <w:kern w:val="36"/>
          <w:sz w:val="52"/>
          <w:szCs w:val="52"/>
          <w:lang w:val="es-UY" w:eastAsia="es-UY"/>
        </w:rPr>
        <w:t>com</w:t>
      </w:r>
      <w:proofErr w:type="spellEnd"/>
      <w:r w:rsidRPr="00B36D26">
        <w:rPr>
          <w:rFonts w:ascii="Times New Roman" w:eastAsia="Times New Roman" w:hAnsi="Times New Roman" w:cs="Times New Roman"/>
          <w:b/>
          <w:bCs/>
          <w:color w:val="ED7D31" w:themeColor="accent2"/>
          <w:kern w:val="36"/>
          <w:sz w:val="52"/>
          <w:szCs w:val="52"/>
          <w:lang w:val="es-UY" w:eastAsia="es-UY"/>
        </w:rPr>
        <w:t xml:space="preserve"> Agamben. Artigo de Andrea </w:t>
      </w:r>
      <w:proofErr w:type="spellStart"/>
      <w:r w:rsidRPr="00B36D26">
        <w:rPr>
          <w:rFonts w:ascii="Times New Roman" w:eastAsia="Times New Roman" w:hAnsi="Times New Roman" w:cs="Times New Roman"/>
          <w:b/>
          <w:bCs/>
          <w:color w:val="ED7D31" w:themeColor="accent2"/>
          <w:kern w:val="36"/>
          <w:sz w:val="52"/>
          <w:szCs w:val="52"/>
          <w:lang w:val="es-UY" w:eastAsia="es-UY"/>
        </w:rPr>
        <w:t>Ponso</w:t>
      </w:r>
      <w:proofErr w:type="spellEnd"/>
      <w:r w:rsidRPr="00B36D26">
        <w:rPr>
          <w:rFonts w:ascii="Times New Roman" w:eastAsia="Times New Roman" w:hAnsi="Times New Roman" w:cs="Times New Roman"/>
          <w:b/>
          <w:bCs/>
          <w:color w:val="ED7D31" w:themeColor="accent2"/>
          <w:kern w:val="36"/>
          <w:sz w:val="52"/>
          <w:szCs w:val="52"/>
          <w:lang w:val="es-UY" w:eastAsia="es-UY"/>
        </w:rPr>
        <w:t xml:space="preserve"> e Andrea Grillo</w:t>
      </w:r>
    </w:p>
    <w:p w:rsid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Entrelaçamos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canetas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Andrea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Andrea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pano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fundo 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levantadas pelas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posições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expressadas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 </w:t>
      </w:r>
      <w:hyperlink r:id="rId4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Giorgio Agamben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convidado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pedra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Comendador). O resultado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‘troca de cartas’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traz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tona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argumentos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perspectivas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leitura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‘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cuidados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sanitários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’ e ‘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vida de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fé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’.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sequência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original,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sucederam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os textos de </w:t>
      </w:r>
      <w:hyperlink r:id="rId5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Andrea </w:t>
        </w:r>
        <w:proofErr w:type="spellStart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Ponso</w:t>
        </w:r>
        <w:proofErr w:type="spellEnd"/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Andrea Grillo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(o texto inicial, de Andrea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Ponso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publicado em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Pangea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)", informa o teólogo italiano </w:t>
      </w:r>
      <w:hyperlink r:id="rId6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Andrea Grillo</w:t>
        </w:r>
        <w:r w:rsidRPr="00B36D26">
          <w:rPr>
            <w:rFonts w:ascii="Georgia" w:eastAsia="Times New Roman" w:hAnsi="Georgia" w:cs="Times New Roman"/>
            <w:b/>
            <w:bCs/>
            <w:color w:val="FC6B01"/>
            <w:sz w:val="27"/>
            <w:szCs w:val="27"/>
            <w:u w:val="single"/>
            <w:lang w:val="es-UY" w:eastAsia="es-UY"/>
          </w:rPr>
          <w:t>, </w:t>
        </w:r>
        <w:proofErr w:type="spellStart"/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professor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Pontifício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Ateneu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Santo Anselmo, Roma,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publicar em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Come Se Non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05-05-2020, 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comentários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acima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referidos.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Andrea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Ponso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poeta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doutor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literatura pelas universidades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Macerata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Itália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Lille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França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Eis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os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comentários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O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vírus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, entre sepulcro e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câmara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fechada (Andrea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Ponso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)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Podemos ver a que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reduziu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talvez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modalidade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ver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clara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contrário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redor está como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foco e indistinto: acreditamos que somos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clara,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estamos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próximos dos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contornos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desfocados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que, justamente,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indistinguíveis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quiséssemos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modo dualista, porque é precisamente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que estamos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imersos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lado,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defesa do biológico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até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defesa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apertos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faz presa e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"http://www.ihu.unisinos.br/598171" \t "_blank" </w:instrTex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gestão</w:t>
      </w:r>
      <w:proofErr w:type="spellEnd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tecnopolítica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aceita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cegamente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imposta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menos à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e, por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abstração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genérica e generalizante de dados sobre dados,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como </w:t>
      </w:r>
      <w:hyperlink r:id="rId7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Illich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havia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reconhecido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precisamente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singularidade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encarnada e concreta da vida humana, em todas 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formas, que se transforma em mero simulacro – desencarnando-se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curvas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previsão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estatísticas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internações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contágios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das pesquisas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propostas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médico-científicas.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Poderíamos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estamos suspensos e divididos entre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fechamento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sepulcro do mero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biológico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Cristo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fechamento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lastRenderedPageBreak/>
        <w:t xml:space="preserve">repleto de medo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desorientação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dos discípulos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naquele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lugar em que 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Ressuscitado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entrará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será logo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reconhecido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plenitude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espírito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irreprimível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incontornável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possibilidade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vida que, é preciso reiterar,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todos 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ressuscitado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inclui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incluir e concluir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Entre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“salas”, 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sepulcro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o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 lugar onde os discípulos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estão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reunidos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esta última,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menos sepulcral –,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estende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zona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cinzenta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vivemos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seres humanos.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zona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cinzenta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que resta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preservado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privado?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verdadeiramente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deter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tecnologia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 política?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 sagrado?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"http://www.ihu.unisinos.br/597825" \t "_blank" </w:instrTex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comunidade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descobre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é no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distanciamento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social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emergência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sanitária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pelo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contrário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hora de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darmos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conta de que nunca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verdadeiramente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representações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fornecidas pela retórica política e popular?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que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impede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dividi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parar neles, do sepulcro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àquela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sala onde os discípulos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reunidos?</w:t>
      </w:r>
      <w:proofErr w:type="gramEnd"/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São apenas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perguntas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deliberadamente apenas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perguntas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contra toda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suposta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segurança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protocolo operacional,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gráfico de probabilidades,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triagem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médica,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autocertificação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impossível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Tiremos 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máscaras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segurança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segurança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mascarada, e, pelo menos,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deixemo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-nos infectar pelo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contágio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demanda de desesperada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"http://www.ihu.unisinos.br/598572" \t "_blank" </w:instrTex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esperança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* * *</w:t>
      </w:r>
    </w:p>
    <w:p w:rsidR="00B36D26" w:rsidRPr="00B36D26" w:rsidRDefault="00B36D26" w:rsidP="00B36D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Leitura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pascal e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tensão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biopolítica (Andrea Grillo)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Interpretar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hyperlink r:id="rId8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estado de </w:t>
        </w:r>
        <w:proofErr w:type="spellStart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exceção</w:t>
        </w:r>
        <w:proofErr w:type="spellEnd"/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fácil.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desfocada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Focá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-la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focos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fotografia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foco.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enumerar os focos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talvez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a) Salvar a vida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salvar a si mesmo e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aos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outros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graça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toda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desgraça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cinema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lotado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onde se grita: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Fogo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!”,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impossível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que se grita: “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Infectado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!”,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distanciamento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desencadear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discriminação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culpabilização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habituação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rendição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resignação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privatização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Primum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vivere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primado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antigo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é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fronteira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civilização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barbárie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Organizar culturalmente o primado da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cultura”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empreendimento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Mas o primado do “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bios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regressão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b)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Fechamento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clausura,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distância</w:t>
      </w:r>
      <w:proofErr w:type="spellEnd"/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#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FiqueEmCasa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impede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corrida 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contágio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Dentro está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salvação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ameaça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esquema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Nenhuma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pode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florescer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corta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exterioridade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Todo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crescimento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todo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todo amor, toda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feitos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polaridade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dentro/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 longo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prazo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casa. Diríamos: a casa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contágio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dinâmica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pascal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prevê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fechamento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 do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sepulcro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cheio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do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cenáculo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assustado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descoberta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hyperlink r:id="rId9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sepulcro </w:t>
        </w:r>
        <w:proofErr w:type="spellStart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vazio</w:t>
        </w:r>
        <w:proofErr w:type="spellEnd"/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corresponde à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sair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cenáculo.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salvação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compõe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adeus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vivo.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clausura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defensiva,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propulsiva e impulsiva.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"http://www.ihu.unisinos.br/585334" \t "_blank" </w:instrTex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tradição</w:t>
      </w:r>
      <w:proofErr w:type="spellEnd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monástica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clausura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principalmente fuga,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intensificação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esperança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novas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decisivas “externas”,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corporais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”,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táteis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tornar absolutos os cuidados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sanitários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impõem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razoavelmente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voltar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papel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predominante.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c)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 rosto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coberto</w:t>
      </w:r>
      <w:proofErr w:type="spellEnd"/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Eu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conheço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hyperlink r:id="rId10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máscara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defesa de si e 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cobertura da boca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nariz, altera o rosto.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reconhecíveis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distância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física se une à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distância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emocional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Cada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mulher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mascarado se torna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mistura de festa e de rapina,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sujeito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“curioso”, “monstruoso” e “bandido”.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surpreende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treme.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fácil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cumprimentar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sujeito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cujo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rosto está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coberto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cuja mímica é impedida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oculta.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Redescobrir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rosto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vivo”,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casa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mídia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será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imediato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será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mediado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Desfigurar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-lo,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regime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ordinário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fácil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frequente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mundo de máscaras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reconhecimento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torna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obra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misericórdia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milagre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moral.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* * *</w:t>
      </w:r>
    </w:p>
    <w:p w:rsidR="00B36D26" w:rsidRPr="00B36D26" w:rsidRDefault="00B36D26" w:rsidP="00B36D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Viver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crer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, poder (Andrea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Ponso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)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Andrea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inspiro-me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considerações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imaginar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algo,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reflexões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talvez arriscadas, talvez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totalmente sobre o tema,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espero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incentivo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estímulo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debate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aprofundamento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a)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Comecemos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partir 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permanecermos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interpretação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Agamben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hyperlink r:id="rId11" w:tgtFrame="_blank" w:history="1">
        <w:r w:rsidRPr="00B36D26">
          <w:rPr>
            <w:rFonts w:ascii="Georgia" w:eastAsia="Times New Roman" w:hAnsi="Georgia" w:cs="Times New Roman"/>
            <w:b/>
            <w:bCs/>
            <w:color w:val="FC6B01"/>
            <w:sz w:val="27"/>
            <w:szCs w:val="27"/>
            <w:u w:val="single"/>
            <w:lang w:val="es-UY" w:eastAsia="es-UY"/>
          </w:rPr>
          <w:t>Esposito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“vida” a ser salva,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acordo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sistema político-jurídico,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 </w:t>
      </w:r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“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bios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”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 a </w:t>
      </w:r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“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zoé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”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melhor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o ponto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indistinção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 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bios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zoé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é precisamente sobre o primado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antigo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primum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vivere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que,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sabe,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acordo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autores,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desencadeia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-se o poder.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Mas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pergunto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realmente consideramos o ser humano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concretude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social e política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que ele está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imerso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tempos como protagonista da liturgia,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paramos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concepções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nunca realmente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integraram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embora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criticamente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aquilo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 </w:t>
      </w:r>
      <w:hyperlink r:id="rId12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biopolítica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reflexões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filosóficas, antropológicas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atualizadas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13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Guardini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parece-me,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convidava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risco positivo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inevitável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tempos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contrário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superar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 si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esforço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resoluto e se abrir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àquilo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talvez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ameace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natureza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moldada pela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história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 (</w:t>
      </w:r>
      <w:r w:rsidRPr="00B36D26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Das ende </w:t>
      </w:r>
      <w:proofErr w:type="spellStart"/>
      <w:r w:rsidRPr="00B36D26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der</w:t>
      </w:r>
      <w:proofErr w:type="spellEnd"/>
      <w:r w:rsidRPr="00B36D26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neuzeit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p. 63) – especificando,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que o problema era precisamente o poder: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“A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ciência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concepção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racional da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realidade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 a técnica como complexo do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novo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ordenamento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ação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possibilitado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ciência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imprimem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novo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caráter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existência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: 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caráter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do poder,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seja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do poder em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sentido que chamaríamos de agudo” (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Die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Macht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, p. 151).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momento,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talvez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repensar 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categorias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pessoa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poder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fé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digo algo de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tenho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certeza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precisaria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investigações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estudo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precisamente a figura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Cristo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faz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explodir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tomada de poder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naquela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zona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indistinção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assumindo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-a plenamente 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tempo,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-a deflagrar, a partir de dentro, mediante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recomposição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simbólica dela?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pontos extremos do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Verbo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se faz carne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nascimento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que é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Verbo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comunicação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mesmo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 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in-fans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; e 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Verbo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antes crucificado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vida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nua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no sepulcro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; e 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Ressuscitado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como abertura em que 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bios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zoé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divididos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formas de vida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potência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ponto de transfigurar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Cristo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apagar 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esquecer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para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Agamben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 estado de 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sacertas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respeito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àquele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é “banido”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matável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insacrificável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tanto 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sagrado,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“soberano”.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figura de Cristo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reunir em si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extremos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revolucionária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desativando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potência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excluído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"http://www.ihu.unisinos.br/44468" \t "_blank" </w:instrTex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impotência</w:t>
      </w:r>
      <w:proofErr w:type="spellEnd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e a </w:t>
      </w:r>
      <w:proofErr w:type="spellStart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finitude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embora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trazendo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si mesmo,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caso, todas as características das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figuras?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Naturalmente,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hipóteses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deveriam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aprofundadas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acredito que, para responder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Agamben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preciso entrar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terreno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profundidade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medindo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medida 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evento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 mesmo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entrou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várias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âmbitos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levar em conta, de forma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adequada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o rito,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figura de Cristo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precisamente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figura do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Filho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“organiza”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organicizar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e censurar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dificilíssima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passagem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algo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semelhante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rito?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podemos responder,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pandêmica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à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terrível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docíssima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injunção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evangélica: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salva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a perderá,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a salvará”? Como podemos reconciliar o abandono (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banimento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Jesus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Cruz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entrega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Pai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perspectiva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agambeniana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nos eventos que estamos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gram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Romano Guardini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vez,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auxílio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particular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oposição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polar”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interpretação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reencontramos em “O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Senhor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”?</w:t>
      </w:r>
      <w:proofErr w:type="gramEnd"/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Segundo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Guardini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é </w:t>
      </w:r>
      <w:hyperlink r:id="rId14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sacrificado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coincide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sacrifica”, se falamos de Cristo,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atenuar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neutralizar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contradição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polar entre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âmbitos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Esposito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escreve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respeito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“No mundo de </w:t>
      </w:r>
      <w:r w:rsidRPr="00B36D26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Guardini</w:t>
      </w:r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, a </w:t>
      </w:r>
      <w:r w:rsidRPr="00B36D26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val="es-UY" w:eastAsia="es-UY"/>
        </w:rPr>
        <w:t>Cruz de Cristo</w:t>
      </w:r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decisão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ocupa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ponto mediano entre 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decisão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de Deus e a do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homem.Trata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-se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de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relação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assimétrica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primeira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é original, absoluta; a segunda, derivada, defectiva. Mas ambas,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maximamente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livres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melhor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cada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liberta em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razão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liberdade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outra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” (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“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Categorie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dell’impolitico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”</w:t>
      </w:r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, p. 29)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Parece-me que precisamente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unidos 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polos que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Agamben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cita,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modalidade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diferente tanto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assimilação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confusão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tanto da captura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exclui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nua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vida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descarregando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poder político sobre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visão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desencarnada totalmente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fora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história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devir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do tempo concreto em ato –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capacidade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suma,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dinamicamente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juntas vida e formas de vida, o subjetivo e o universal, o racional e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contemplação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espírito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contingência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transcendência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b)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O segundo ponto.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Sobre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estamos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perfeitamente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acordo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clausura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entendida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sentido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profundo,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fechamento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abre –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no caso que estamos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poderíamos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falar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abertura para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defesa da vida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exageros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ver,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vividos, nos fecha;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“abertura”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basicamente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midiática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retórica, desincorporada... basta pensar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vários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slogans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remetem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à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relacionalidade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precisamente mediada/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midiática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Para continuar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leitura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pascal,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poderíamos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é como se 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Ressuscitado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tivesse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dito: “Eu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espírito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”: no fundo,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fácil, menos escandaloso, menos “tocante” no sentido concreto de ser invadido pela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presença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encarnada de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corpo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contido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formas de vida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conhecidas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Do ponto de vista litúrgico,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sentido pode ter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15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liturgia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vista pela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mídia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Talvez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profundo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envolver,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passagem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ergo-emocional para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espiritualização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intelectualização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 de vista,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talvez, infelizmente,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tantas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liturgias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participamos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perfeitamente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imunizado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relação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concreta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comunidade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detém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simples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escuta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devida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distância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todas 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linguagens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verbais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corporais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imporiam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tato, o paladar, o sentir fisiológico etc.?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Pode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haver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graça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presença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sacramental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casos?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realmente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16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“a </w:t>
        </w:r>
        <w:proofErr w:type="spellStart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comunhão</w:t>
        </w:r>
        <w:proofErr w:type="spellEnd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” </w:t>
        </w:r>
        <w:proofErr w:type="spellStart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comunitária</w:t>
        </w:r>
        <w:proofErr w:type="spellEnd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</w:t>
        </w:r>
        <w:proofErr w:type="spellStart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sem</w:t>
        </w:r>
        <w:proofErr w:type="spellEnd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a </w:t>
        </w:r>
        <w:proofErr w:type="spellStart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nossa</w:t>
        </w:r>
        <w:proofErr w:type="spellEnd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</w:t>
        </w:r>
        <w:proofErr w:type="spellStart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presença</w:t>
        </w:r>
        <w:proofErr w:type="spellEnd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</w:t>
        </w:r>
        <w:proofErr w:type="spellStart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imersiva</w:t>
        </w:r>
        <w:proofErr w:type="spellEnd"/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 que resta da </w:t>
      </w:r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actuosa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participatio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</w:t>
      </w:r>
      <w:proofErr w:type="gramEnd"/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Estamos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cômoda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passividade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vírus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tornou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evidente,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era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 antes.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pessimista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infelizmente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antes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emergência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casos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raros. Concentramos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atenção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no gesto,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igual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dignidade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linguagens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rituais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talvez, repito,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esquecemo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-nos de investigar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sociopolítica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antropológica dos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c)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Terceiro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cobertura do rosto, concretamente,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rouba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exatamente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reconhecibilidade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singulares e encarnadas, tornando-nos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anônimos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dentro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mecanismo que pretende tornar 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anonimato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anomia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midiatização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nos torna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indistinta no sentido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Canetti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totalmente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desprovidos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imediatas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rompendo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dinâmica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imediaticidade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mediação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lembro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investigou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):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"http://www.ihu.unisinos.br/593862" \t "_blank" </w:instrTex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tornamo</w:t>
      </w:r>
      <w:proofErr w:type="spellEnd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-nos </w:t>
      </w:r>
      <w:proofErr w:type="spellStart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massa</w:t>
      </w:r>
      <w:proofErr w:type="spellEnd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qual</w:t>
      </w:r>
      <w:proofErr w:type="spellEnd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cada </w:t>
      </w:r>
      <w:proofErr w:type="spellStart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está </w:t>
      </w:r>
      <w:proofErr w:type="spellStart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sozinho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solidão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ser vivida como tal, por ser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simultânea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viralmente perturbada pela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mídias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pelas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interconexões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virais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pelo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vírus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consequências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subjetivas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narcísicas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inevitáveis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perfeitamente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previstas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reabsorvidas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sistema sociopolítico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funcionais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ele no sentido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espetacularização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evidenciada, por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por </w:t>
      </w:r>
      <w:hyperlink r:id="rId17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Guy </w:t>
        </w:r>
        <w:proofErr w:type="spellStart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Debord</w:t>
        </w:r>
        <w:proofErr w:type="spellEnd"/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hyperlink r:id="rId18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Paul Virilio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reconhecidos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Ressuscitado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reconhecido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imediatamente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motivos diametralmente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opostos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!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no “vamos conseguir” etc.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modo, no fundo,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desresponsabilizante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em que a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ameaça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contínua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morte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do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contágio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excepcionalidade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catástrofe se torna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cotidianidade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gerida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protagonistas da liturgia,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permanecendo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passivos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perdendo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gosto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sacerdócio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universal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demandado apenas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celebrante: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semelhante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heróis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permanecendo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sentados no sofá, como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retórica conectada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risco do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vírus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É claro, somos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responsáveis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ficando em casa, até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 –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responsáveis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nunca realmente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responsoriais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correndo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risco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mesmos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tornarmos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vírus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conjunto de </w:t>
      </w:r>
      <w:proofErr w:type="spellStart"/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micro-organismos</w:t>
      </w:r>
      <w:proofErr w:type="spellEnd"/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micro-organizados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rosto,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verdadeira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de vida real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típica dos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vírus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passivamente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permanecer viva,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nome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rosto.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* * *</w:t>
      </w:r>
    </w:p>
    <w:p w:rsidR="00B36D26" w:rsidRPr="00B36D26" w:rsidRDefault="00B36D26" w:rsidP="00B36D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A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profecia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da norma e a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vigilância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sobre a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degeneração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(Andrea Grillo)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Andrea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Gosto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“ir até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ajuda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poesia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poesia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ajuda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nariz,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aguça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sentidos.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cheiro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clarões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luz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cantos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escuros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pontos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cegos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brilho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Veja,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segunda parte –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tinha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sentido a mesma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pensei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Homero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Sim, precisamente em Homero.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Recentemente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filhos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estudam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Ilíada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Giovanni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o </w:t>
      </w:r>
      <w:hyperlink r:id="rId19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duelo entre </w:t>
        </w:r>
        <w:proofErr w:type="spellStart"/>
        <w:r w:rsidRPr="00B36D26">
          <w:rPr>
            <w:rFonts w:ascii="Georgia" w:eastAsia="Times New Roman" w:hAnsi="Georgia" w:cs="Times New Roman"/>
            <w:b/>
            <w:bCs/>
            <w:color w:val="FC6B01"/>
            <w:sz w:val="27"/>
            <w:szCs w:val="27"/>
            <w:u w:val="single"/>
            <w:lang w:val="es-UY" w:eastAsia="es-UY"/>
          </w:rPr>
          <w:t>Heitor</w:t>
        </w:r>
        <w:proofErr w:type="spellEnd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 e </w:t>
        </w:r>
        <w:r w:rsidRPr="00B36D26">
          <w:rPr>
            <w:rFonts w:ascii="Georgia" w:eastAsia="Times New Roman" w:hAnsi="Georgia" w:cs="Times New Roman"/>
            <w:b/>
            <w:bCs/>
            <w:color w:val="FC6B01"/>
            <w:sz w:val="27"/>
            <w:szCs w:val="27"/>
            <w:u w:val="single"/>
            <w:lang w:val="es-UY" w:eastAsia="es-UY"/>
          </w:rPr>
          <w:t>Aquiles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Talvez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40 anos, nunca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tinha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levado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consideração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Mas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chamou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atenção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o elemento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visionário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lança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Aquiles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Homero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assimila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ponta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lança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Héspero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brilha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noite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Toda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poesia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antiga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medieval, até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Dante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usa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linguagem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Nada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semelhante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modernos,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Ariosto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Andrea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raciocina sobre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semelhança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metáfora.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enriquece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aprofunda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Gostaria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tentar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replicar,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acrescentar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imagens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metáforas. Vejamos.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a) A vida a ser salva e a vida a ser perdida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faz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tenta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problemática que estamos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litúrgica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litúrgica – entre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positiva entre 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bios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zoé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entre dado biológico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símbolo vital.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fica evidente o equívoco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Agamben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aconteceu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prevaricação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biopolítica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contra a vida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plenitude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é o fruto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abstração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tanto em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modelo que pretende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interpretá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-la.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Mas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razão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reivindica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riqueza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Agamben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 mesmo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modo como,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graças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Guardini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podemos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Cristo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dinâmica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complexa de “bandido/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senhor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 </w:t>
      </w:r>
      <w:hyperlink r:id="rId20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mecanismos da “</w:t>
        </w:r>
        <w:proofErr w:type="spellStart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sacralização</w:t>
        </w:r>
        <w:proofErr w:type="spellEnd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”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confirmação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surpreendente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cristologicamente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recuperar algo que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Agamben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tenta verificar </w:t>
      </w:r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“remoto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Christo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”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perspectiva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árdua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diferença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simplesmente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fé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mediação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pelo menos,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b) 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lógica do “ficar em casa” é preservativa. Mas o é até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ponto. Existe, no ser humano,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elemento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irreprimível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passagem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casa e de casa para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 longo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prazo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ficar dentro –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ficar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desumano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Deprime e oprime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humanidade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extrovertida.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introvertida por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retórica da casa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que,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entendido, serve de suporte para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manutenção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emergência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torna-se insidiosa no momento em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evidência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externa como alimento da casa.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c)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máscara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como “rosto público”.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desfiguração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social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elemento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interessante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emerge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longo das semanas, é que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máscara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confissão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fragilidade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ter impedido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saudação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favorece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desnudando,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cobertura,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fragilidade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cada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“ser cuidado”.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aguilhão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assumido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publicamente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sinal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ferida que cada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potencialmente para 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si mesmo.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* * *</w:t>
      </w:r>
    </w:p>
    <w:p w:rsidR="00B36D26" w:rsidRPr="00B36D26" w:rsidRDefault="00B36D26" w:rsidP="00B36D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Difícil liturgia e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negação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do rosto (Andrea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Ponso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)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perícope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evangélica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quiser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salvar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a perderá,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perder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por causa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salvará”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ser usada como justificativa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egoísta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contexto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contágio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é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igualmente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se tornar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preciosa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bússola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mediação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excessiva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proteção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imunização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vida, contra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pretensão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tecnomédica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 sobre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que,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pelas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"http://www.ihu.unisinos.br/598295" \t "_blank" </w:instrTex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restrições</w:t>
      </w:r>
      <w:proofErr w:type="spellEnd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totais</w:t>
      </w:r>
      <w:proofErr w:type="spellEnd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liberdade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promessas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onipotência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reconciliação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extremos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Romano Guardini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oposições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polares,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viva,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minha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opinião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tarefas 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a) A vida a ser salva e a vida a ser perdida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apoiar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passivamente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teses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Agamben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abri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-las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problematizá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-las para ver se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leitura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diferente à luz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Cristo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acredito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jogo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mediação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mas, sobre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acho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gostaria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aprofundar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justamente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minha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opinião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resta o fato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reiterado de que,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Agamben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ser humano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consideramos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destinatário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rito é o ser humano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consciente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atravessado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organizado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pelos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mecanismos biopolíticos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ato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mediações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 e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"http://www.ihu.unisinos.br/597913" \t "_blank" </w:instrTex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midiatizações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imediatamente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simplesmente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entrando no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espaço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liturgia e da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própria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festa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“tempo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da festa, por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 em que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trabalho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consciente </w:t>
      </w:r>
      <w:proofErr w:type="gram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concreto do tempo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se liberta em perspectiva festiva. Eu acredito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estava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longe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verdadeiro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Baudrillard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escrevia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em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 “A troca simbólica e 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morte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”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que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“O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trabalho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sob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a forma de tempo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livre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) invade toda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vida como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repressão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fundamental, como controle, como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ocupação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permanente em lugares </w:t>
      </w:r>
      <w:proofErr w:type="gram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tempos regulados, de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acordo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código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onipresente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. É preciso sistematizar as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pessoas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por toda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 parte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escola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fábrica,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praia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frente da TV […]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esse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trabalho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produtivo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no sentido original: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do que 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espelho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sociedade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seu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imaginário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seu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princípio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fantástico de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realidade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Pulsão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morte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gram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talvez</w:t>
      </w:r>
      <w:proofErr w:type="gram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. [...]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Nesse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sentido, 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trabalho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se distingue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outras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atividades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e, em particular, do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seu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termo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oposto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o tempo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livre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que, como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pressupõe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a mesma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mobilização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 o mesmo investimento (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o mesmo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desinvestimento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produtivo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), é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hoje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da mesma forma,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serviço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prestado [...] Em suma,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é apenas 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distinção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imaginária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entre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trabalho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produtivo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improdutivo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que entra em colapso,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própria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distinção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entre 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trabalho</w:t>
      </w:r>
      <w:proofErr w:type="spellEnd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 todo o resto" (pp. 28-30).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Talvez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Baudrillard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exagere,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dúvida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intuição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 mal,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grau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entrou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existências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profundamente e que,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dificuldade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sentido profundo da festa,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hyperlink r:id="rId21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festa </w:t>
        </w:r>
        <w:proofErr w:type="spellStart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cristã</w:t>
        </w:r>
        <w:proofErr w:type="spellEnd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dominical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toda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de positiva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inoperosidade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religiosa)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depende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fala do símbolo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unida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semiogenética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recíproca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troca entre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imediaticidade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mediação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seria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interessante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entender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mediação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é, por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vez, mediado por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aquilo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Baudrillard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sustenta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acaso, intitula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obra usando o termo “símbolo” e “troca”,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virando-o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negatividade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usa o símbolo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atribuição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“lugar” em que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singularidade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encarnada do ser humano e das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formas de vida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reduz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sinal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sentido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linguístico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-diferencial do indiferenciado e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intercambialidade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proposta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 </w:t>
      </w:r>
      <w:hyperlink r:id="rId22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Saussure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seria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reduzida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mera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carregamos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dentro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mesmos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dentro da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celebração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litúrgica e da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oração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baixamente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se inerva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vidas, transformando-as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mercadorias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cujo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valor é dado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troca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infinita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intercambialidade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mecânica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Sabemos,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efeito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precisamente do Sábado hebraico, que a festa é algo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desconstrói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si mesmas,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fato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economicamente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ligadas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externo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quantificável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o Sábado hebraico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desprovido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parecer, mas, pelo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contrário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versículo bíblico,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repousar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Em que sentido podemos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domingo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tempos festivos?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b) A lógica do “ficar em casa”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casa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raiz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 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óikos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economia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reduz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economia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“doméstica” e domesticada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gerencial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político: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preserva,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até se transformar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museu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de lugar privado, torna-se lugar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privação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fechamento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alteridade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banimento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que, em vez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expulsão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 transforma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inclusão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prevaricação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Como sabemos, da mesma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raiz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deriva </w:t>
      </w:r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par-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óikos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termo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designamos as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"http://www.ihu.unisinos.br/598352" \t "_blank" </w:instrTex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paróquias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”: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significado une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proximidade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ser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estrangeiro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passagem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abertura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estar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concretude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tempo e da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história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vez,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dinâmica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problemática,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fundamentalmente positiva, que corremos o risco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assumir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óbvia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hipostatizada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pascal.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natureza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“contagiosa”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pelo menos,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ser; e o vemos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pandemia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dentro,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alternativa,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ideologização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Mas acredito que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par-</w:t>
      </w:r>
      <w:proofErr w:type="spellStart"/>
      <w:r w:rsidRPr="00B36D26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óikos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focos extremos,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centro; e a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comunidade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fé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rito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ensinar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intensidade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mediana.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através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desenvolvimento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técnica </w:t>
      </w:r>
      <w:proofErr w:type="gram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mídias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estamos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tempo, “dentro”: e é precisamente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indistinção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impede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intensidade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mediação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sociedade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“do risco” e da “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previsão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risco”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como constante,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alteridade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gerida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até “criada” preventivamente – literalmente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pré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-vista –,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impedindo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fato,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tornando extremamente difícil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verdadeira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alteridade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tempo,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forçosamente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domesticada (e doméstica)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fundamental capaz de realmente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questionar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todos 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âmbitos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vida.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mundo, em suma,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“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paróquia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precisamente porque nada o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realmente.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No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fim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, a máscara como “rosto público”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base no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tentei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acima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acredito que,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grande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dificuldade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máscara pode ser vista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razão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entende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bastante inclinado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interpretá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-la, pelo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contrário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indistinção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rosto,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torna algo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pior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como 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estigma da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imunização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do medo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suspeita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Digo paradoxalmente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se tornar,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nos demos conta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instrumento de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unificação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social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que,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funciona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divisão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contraposição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somos todos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iguais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todos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máscara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tempo, cada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perigoso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mantido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distância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punido.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paradoxo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distanciamento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socializado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espera seria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esforço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realmente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fugir, a partir de dentro,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modelo: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digo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frequentemente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ser-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ser-em-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(algo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tentei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desenvolver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artigo sobre 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Eclesiastes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precisamente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fundação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partir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medo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propriedade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“menos”,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vazio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falta).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Pôr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estigma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fagocitado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indistinção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no medo 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tarefa alta,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árdua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necessária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que,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entanto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contas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complexidade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sistemas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sociais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políticos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que, por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lado,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direções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“privado” posto em público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característica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conhecida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“</w:t>
      </w:r>
      <w:hyperlink r:id="rId23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sociedades do </w:t>
        </w:r>
        <w:proofErr w:type="spellStart"/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espetáculo</w:t>
        </w:r>
        <w:proofErr w:type="spellEnd"/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que, precisamente mediante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exposição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desapropriam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tornando-o funcional para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representação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significante, por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doloroso,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arredio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encarnado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concreto, é transformada em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sinal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intercambiável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representação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significado –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talvez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sobretudo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trata de dores e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tragédias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–, precisamente como acontece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aconteceu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vergonhosa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caixões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nome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meses. Vida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indistinção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indistinção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grandes riscos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respeito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pequena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subjetividade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ser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preenchida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significados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conceitos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 à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profundidade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antropológica do humano, antes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discurso de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fé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Tínhamos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medo, mesmo em tempos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insuspeitos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beber realmente do mesmo cálice e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compartilhar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realmente o mesmo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pão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partido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vezes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até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incomodava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tocar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"http://www.ihu.unisinos.br/598574" \t "_blank" </w:instrTex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sinal</w:t>
      </w:r>
      <w:proofErr w:type="spellEnd"/>
      <w:r w:rsidRPr="00B36D26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da paz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...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fingiremos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máscara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o estigma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alheia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talvez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farão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justamente porque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distância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perigo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encontrar realmente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frente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cumprimenta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...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frente 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acontece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24" w:tgtFrame="_blank" w:history="1">
        <w:r w:rsidRPr="00B36D26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parábola do samaritano</w:t>
        </w:r>
      </w:hyperlink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e, no máximo,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sentindo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compaixão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tocamos e, difícil e fugazmente, dirigimos a ele 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É claro que podemos rezar por todos,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“todos”,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tentei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corre o risco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abstração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corre o risco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tornar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álibi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cômodo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especialmente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tempos que estamos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atravessando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* * *</w:t>
      </w:r>
    </w:p>
    <w:p w:rsidR="00B36D26" w:rsidRPr="00B36D26" w:rsidRDefault="00B36D26" w:rsidP="00B36D2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esperança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verdadeira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desespero e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sem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presunção</w:t>
      </w:r>
      <w:proofErr w:type="spellEnd"/>
      <w:r w:rsidRPr="00B36D26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(Andrea Grillo)</w:t>
      </w:r>
    </w:p>
    <w:p w:rsidR="00B36D26" w:rsidRPr="00B36D26" w:rsidRDefault="00B36D26" w:rsidP="00B36D26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tentação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imunizante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das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referências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àquilo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é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parece ter se tornado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efetivamente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alta. Mas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gostaria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distinguir,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liturgia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ritualidade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humana </w:t>
      </w:r>
      <w:proofErr w:type="gram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civil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a da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saudação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“ser de fato”,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“ser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vocação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 (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Lacoste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).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Obviamente,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conceitos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universais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preciso vigiar sobre o “truque” pelo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definição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tranquilizamos 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consciência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fato de os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ritos – precisamente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todos eles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terem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potencialidade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vocacional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significa que eles 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“em ato”. Para que eles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possam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suficiente que formalmente “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sejam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postos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Mas,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potencial, esconde-se e revela-se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alternativa,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luz,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transgressão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abertura,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esperança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perdê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-la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impossível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seria desespero –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banalizá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-la como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disponível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seria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presunção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poderíamos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descobrir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 </w:t>
      </w:r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parábola dos ritos</w:t>
      </w: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simplesmente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“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constituição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sujeito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sim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épica de “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instituição</w:t>
      </w:r>
      <w:proofErr w:type="spellEnd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B36D26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história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”.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:rsidR="00B36D26" w:rsidRPr="00B36D26" w:rsidRDefault="00B36D26" w:rsidP="00B36D26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consciência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embora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pouco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clara,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seria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crise</w:t>
      </w:r>
      <w:proofErr w:type="spell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futuro que nos perturba </w:t>
      </w:r>
      <w:proofErr w:type="gramStart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B36D26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atormenta.</w:t>
      </w:r>
    </w:p>
    <w:p w:rsidR="002E2F5B" w:rsidRDefault="002E2F5B"/>
    <w:p w:rsidR="00B36D26" w:rsidRDefault="00B36D26"/>
    <w:p w:rsidR="00B36D26" w:rsidRDefault="00B36D26">
      <w:hyperlink r:id="rId25" w:history="1">
        <w:r w:rsidRPr="005B1DD4">
          <w:rPr>
            <w:rStyle w:val="Hipervnculo"/>
          </w:rPr>
          <w:t>www.i</w:t>
        </w:r>
        <w:r w:rsidRPr="005B1DD4">
          <w:rPr>
            <w:rStyle w:val="Hipervnculo"/>
          </w:rPr>
          <w:t>hu.unisinos.br/598662-virus-e-fe-tripla-correspondencia-com-agamben-artigo-de-andrea-ponso-e-andrea-grillo</w:t>
        </w:r>
      </w:hyperlink>
    </w:p>
    <w:p w:rsidR="00B36D26" w:rsidRDefault="00B36D26">
      <w:bookmarkStart w:id="0" w:name="_GoBack"/>
      <w:bookmarkEnd w:id="0"/>
    </w:p>
    <w:sectPr w:rsidR="00B36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26"/>
    <w:rsid w:val="002E2F5B"/>
    <w:rsid w:val="00B3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817C"/>
  <w15:chartTrackingRefBased/>
  <w15:docId w15:val="{4E0CB8C6-46C0-4627-AF06-FFA3E513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6D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6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78-noticias/597615-giorgio-agamben-e-o-novo-estado-de-excecao-gracas-ao-coronavirus" TargetMode="External"/><Relationship Id="rId13" Type="http://schemas.openxmlformats.org/officeDocument/2006/relationships/hyperlink" Target="http://www.ihu.unisinos.br/594842" TargetMode="External"/><Relationship Id="rId18" Type="http://schemas.openxmlformats.org/officeDocument/2006/relationships/hyperlink" Target="http://www.ihu.unisinos.br/noticias/501803-a-globalizacao-e-uma-uma-nova-forma-de-colonizacao-entrevista-com-marc-aug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hu.unisinos.br/598461" TargetMode="External"/><Relationship Id="rId7" Type="http://schemas.openxmlformats.org/officeDocument/2006/relationships/hyperlink" Target="http://www.ihu.unisinos.br/noticias/516582-assim-ivan-illich-iluminava-o-lado-escuro-da-religiao" TargetMode="External"/><Relationship Id="rId12" Type="http://schemas.openxmlformats.org/officeDocument/2006/relationships/hyperlink" Target="http://www.ihu.unisinos.br/597369" TargetMode="External"/><Relationship Id="rId17" Type="http://schemas.openxmlformats.org/officeDocument/2006/relationships/hyperlink" Target="http://www.ihu.unisinos.br/noticias/538184-guy-debord-e-a-critica-da-sociedade-do-espetaculo-entrevista-com-luis-navarro" TargetMode="External"/><Relationship Id="rId25" Type="http://schemas.openxmlformats.org/officeDocument/2006/relationships/hyperlink" Target="http://www.ihu.unisinos.br/598662-virus-e-fe-tripla-correspondencia-com-agamben-artigo-de-andrea-ponso-e-andrea-grill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hu.unisinos.br/598334" TargetMode="External"/><Relationship Id="rId20" Type="http://schemas.openxmlformats.org/officeDocument/2006/relationships/hyperlink" Target="http://www.ihu.unisinos.br/58649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hu.unisinos.br/598431" TargetMode="External"/><Relationship Id="rId11" Type="http://schemas.openxmlformats.org/officeDocument/2006/relationships/hyperlink" Target="http://www.ihu.unisinos.br/598664-a-primeira-imunizacao-e-o-direito-entrevista-com-roberto-esposito" TargetMode="External"/><Relationship Id="rId24" Type="http://schemas.openxmlformats.org/officeDocument/2006/relationships/hyperlink" Target="http://www.ihu.unisinos.br/522716" TargetMode="External"/><Relationship Id="rId5" Type="http://schemas.openxmlformats.org/officeDocument/2006/relationships/hyperlink" Target="http://www.ihu.unisinos.br/549050" TargetMode="External"/><Relationship Id="rId15" Type="http://schemas.openxmlformats.org/officeDocument/2006/relationships/hyperlink" Target="http://www.ihu.unisinos.br/598457" TargetMode="External"/><Relationship Id="rId23" Type="http://schemas.openxmlformats.org/officeDocument/2006/relationships/hyperlink" Target="http://www.ihu.unisinos.br/581781" TargetMode="External"/><Relationship Id="rId10" Type="http://schemas.openxmlformats.org/officeDocument/2006/relationships/hyperlink" Target="http://www.ihu.unisinos.br/597762" TargetMode="External"/><Relationship Id="rId19" Type="http://schemas.openxmlformats.org/officeDocument/2006/relationships/hyperlink" Target="http://www.ihu.unisinos.br/582994" TargetMode="External"/><Relationship Id="rId4" Type="http://schemas.openxmlformats.org/officeDocument/2006/relationships/hyperlink" Target="http://www.ihu.unisinos.br/598583" TargetMode="External"/><Relationship Id="rId9" Type="http://schemas.openxmlformats.org/officeDocument/2006/relationships/hyperlink" Target="http://www.ihu.unisinos.br/577499" TargetMode="External"/><Relationship Id="rId14" Type="http://schemas.openxmlformats.org/officeDocument/2006/relationships/hyperlink" Target="http://www.ihu.unisinos.br/574329" TargetMode="External"/><Relationship Id="rId22" Type="http://schemas.openxmlformats.org/officeDocument/2006/relationships/hyperlink" Target="http://www.ihu.unisinos.br/50656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5056</Words>
  <Characters>27812</Characters>
  <Application>Microsoft Office Word</Application>
  <DocSecurity>0</DocSecurity>
  <Lines>231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Vírus e fé: tripla correspondência com Agamben. Artigo de Andrea Ponso e Andrea </vt:lpstr>
      <vt:lpstr>        </vt:lpstr>
      <vt:lpstr>        Eis os comentários.</vt:lpstr>
      <vt:lpstr>        </vt:lpstr>
      <vt:lpstr>        O vírus, entre sepulcro e câmara fechada (Andrea Ponso)</vt:lpstr>
      <vt:lpstr>        </vt:lpstr>
      <vt:lpstr>        Leitura pascal e tensão biopolítica (Andrea Grillo)</vt:lpstr>
      <vt:lpstr>        </vt:lpstr>
      <vt:lpstr>        Viver, crer, poder (Andrea Ponso)</vt:lpstr>
      <vt:lpstr>        </vt:lpstr>
      <vt:lpstr>        A profecia da norma e a vigilância sobre a sua degeneração (Andrea Grillo)</vt:lpstr>
      <vt:lpstr>        </vt:lpstr>
      <vt:lpstr>        Difícil liturgia e negação do rosto (Andrea Ponso)</vt:lpstr>
      <vt:lpstr>        </vt:lpstr>
      <vt:lpstr>        Uma esperança verdadeira, sem desespero e sem presunção (Andrea Grillo)</vt:lpstr>
    </vt:vector>
  </TitlesOfParts>
  <Company/>
  <LinksUpToDate>false</LinksUpToDate>
  <CharactersWithSpaces>32803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2020-05-06T14:56:00Z</dcterms:created>
  <dcterms:modified xsi:type="dcterms:W3CDTF">2020-05-06T14:58:00Z</dcterms:modified>
</cp:coreProperties>
</file>