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08" w:rsidRPr="00211F08" w:rsidRDefault="00211F08" w:rsidP="00211F0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</w:pPr>
      <w:r w:rsidRPr="00211F08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 xml:space="preserve">Igrejas e </w:t>
      </w:r>
      <w:proofErr w:type="spellStart"/>
      <w:r w:rsidRPr="00211F08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>vírus</w:t>
      </w:r>
      <w:proofErr w:type="spellEnd"/>
      <w:r w:rsidRPr="00211F08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 xml:space="preserve">: </w:t>
      </w:r>
      <w:proofErr w:type="spellStart"/>
      <w:r w:rsidRPr="00211F08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>balanço</w:t>
      </w:r>
      <w:proofErr w:type="spellEnd"/>
      <w:r w:rsidRPr="00211F08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 xml:space="preserve"> </w:t>
      </w:r>
      <w:proofErr w:type="spellStart"/>
      <w:r w:rsidRPr="00211F08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>intermediário</w:t>
      </w:r>
      <w:proofErr w:type="spellEnd"/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sz w:val="40"/>
          <w:szCs w:val="40"/>
          <w:lang w:val="es-UY" w:eastAsia="es-UY"/>
        </w:rPr>
      </w:pPr>
      <w:bookmarkStart w:id="0" w:name="_GoBack"/>
      <w:bookmarkEnd w:id="0"/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Enquanto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nos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Estados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europeus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inicia-se a </w:t>
      </w:r>
      <w:hyperlink r:id="rId4" w:tgtFrame="_blank" w:history="1"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segunda fase da Covid-19</w:t>
        </w:r>
      </w:hyperlink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abertura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progressiva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após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confinamento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possível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traçar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balanço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provisório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desafios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enfrentados pelas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cristãs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reportagem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Lorenzo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Prezzi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publicada por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Settimana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News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04-05-2020.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tradução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Moisés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Sbardelotto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“No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espaço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algumas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semanas, a vida das Igrejas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grande parte do mundo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sofreu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terremoto.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geralmente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tinham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nenhuma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memória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viva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comportamento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ser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mantido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caso de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pandemia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Mas 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adaptaram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rapidamente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Além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tinham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escolha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Acompanharam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eventos, tentando encontrar neles oportunidades para desenvolver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abordagens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criativas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Jean-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Fraçois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Mayer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“Les </w:t>
      </w:r>
      <w:proofErr w:type="spellStart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Ėglises</w:t>
      </w:r>
      <w:proofErr w:type="spellEnd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chretiennes</w:t>
      </w:r>
      <w:proofErr w:type="spellEnd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face</w:t>
      </w:r>
      <w:proofErr w:type="spellEnd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au</w:t>
      </w:r>
      <w:proofErr w:type="spellEnd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coronavírus</w:t>
      </w:r>
      <w:proofErr w:type="spellEnd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”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Religioscope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condição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está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longe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terminar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poderá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sofrer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abalos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próximos meses,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transformações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previsíveis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Usando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abordagem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narrativa e sociológica,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pastoral e teológica,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indicadas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algumas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condensações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problemáticas: os poderes e os símbolos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pandemia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eclesiais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antes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diretrizes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hyperlink r:id="rId5" w:tgtFrame="_blank" w:history="1"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entrada do virtual </w:t>
        </w:r>
        <w:proofErr w:type="spellStart"/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nas</w:t>
        </w:r>
        <w:proofErr w:type="spellEnd"/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práticas</w:t>
        </w:r>
        <w:proofErr w:type="spellEnd"/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eclesiais</w:t>
        </w:r>
        <w:proofErr w:type="spellEnd"/>
      </w:hyperlink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eclipse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redespertar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fé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traços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ecumênicos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inter-religiosos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Fontes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de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autoridade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: poder </w:t>
      </w:r>
      <w:proofErr w:type="gram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</w:t>
      </w:r>
      <w:proofErr w:type="gram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símbolos</w:t>
      </w:r>
    </w:p>
    <w:p w:rsidR="00211F08" w:rsidRP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duas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fontes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autoridade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tentaram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orientar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política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(os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e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sugestões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comitês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científicos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Os administradores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centralizaram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poderes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orientação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colocando limites significativos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parlamentos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redesenhando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responsabilidades, como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ocorreu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entre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regiões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preocupantes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estrutura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democrática, como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Hungria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Polônia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Os consultores científicos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ocuparam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espaços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instrução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decisões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comunicações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midiáticas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revertendo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impulsos anticientíficos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ativos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anos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mídias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sociais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conjugando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diversidade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opiniões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sugestões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sempre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compreensíveis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 grande público.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orientação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abrangente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voltada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saúde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pública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evidenciou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nível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mundial, personalidades políticas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autoridades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referência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lideranças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religiosas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símbolos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entraram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sombra dos atores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coadjuvantes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Até 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denúncias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explícitas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preguiça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 xml:space="preserve">“Como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acusei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responsabilidade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cada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–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6" w:tgtFrame="_blank" w:history="1"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Giorgio Agamben</w:t>
        </w:r>
      </w:hyperlink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–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deixar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mencionar as responsabilidades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graves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daqueles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teriam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tarefa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zelar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dignidade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ser humano.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Acima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Igreja, que,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fazendo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serva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já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tornou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verdadeira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religião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renegou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radicalmente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princípios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essenciais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E,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texto anterior, ele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anotava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-se-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os seres humanos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creem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nada,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exceto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nua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biológica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salva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qualquer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custo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Mas, sobre o medo de perder a vida,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pode fundamentar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tirania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conclusão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compartilhada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pandemia o eclipse definitivo da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religião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do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cristianismo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conclusão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drástica,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concorda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resultados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investigação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sociológica de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F.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Garelli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observa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crescimento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demanda religiosa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recurso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medo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Deus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vingativo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pedido generalizado,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compartilhado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80%, “de que este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propício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voltarmos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ser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humanos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solidários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para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modo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saudável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justo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fraterno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coletiva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Tradicionalistas no ataque: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reações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às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diretrizes</w:t>
      </w:r>
      <w:proofErr w:type="spellEnd"/>
    </w:p>
    <w:p w:rsidR="00211F08" w:rsidRP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Assembleias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religiosas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acusadas de ser focos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vírus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ocorreu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Coreia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Igreja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neopentecostal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Templo do Tabernáculo do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Testemunho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França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(em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Mulhouse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Igreja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livre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“</w:t>
      </w:r>
      <w:r w:rsidRPr="00211F08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s-UY" w:eastAsia="es-UY"/>
        </w:rPr>
        <w:t xml:space="preserve">La Porte </w:t>
      </w:r>
      <w:proofErr w:type="spellStart"/>
      <w:r w:rsidRPr="00211F08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s-UY" w:eastAsia="es-UY"/>
        </w:rPr>
        <w:t>Ouverte</w:t>
      </w:r>
      <w:proofErr w:type="spellEnd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”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para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neocatecumenal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Campânia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templo budista de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Hong Kong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reunião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sikhs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Índia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duas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assembleias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Cingapura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movimento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avivamento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islâmico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Kuala Lumpur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Malásia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 etc.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cristãs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faltaram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resistências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disposições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confinamento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cessação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especialmente nos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Em particular nos grupos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tradicionalistas,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os bispos, como no caso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Dom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Pascal Roland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França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razões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guiam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resistência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substancialmente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três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Acima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convicção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ter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testemunhar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fé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contexto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mornas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compromissadas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desafio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(especialmente no caso da ex-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União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Soviética)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pouca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credibilidade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democrática; e, finalmente,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convicção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que a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fé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litúrgicas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preservadas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vírus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têm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vencê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-lo.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conjunto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orientações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motivadas de forma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diferenciada. As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históricas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rapidamente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sintonizaram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disposições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poderes públicos. Os casos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resistência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substancialmente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minoritários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Voltaram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tona ritos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devoções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ligadas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pestes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do culto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crucifixos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imagens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marianas milagrosas, à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fldChar w:fldCharType="begin"/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instrText xml:space="preserve"> HYPERLINK "http://www.ihu.unisinos.br/598565-por-que-os-bispos-continuam-consagrando-seus-paises-a-maria-artigo-de-hendro-munsterman" \t "_blank" </w:instrTex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fldChar w:fldCharType="separate"/>
      </w:r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consagração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nação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Maria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fldChar w:fldCharType="end"/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(como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em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Portugal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à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exibição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relíquias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peregrinações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solitárias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bispos,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monges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popes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lugares símbolos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devoção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popular. Até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mesmo gestos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incomuns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como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bênção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água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benta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aspergida do helicóptero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carros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longo das estradas.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Embora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conflito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Estado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registrado nos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pandemia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Eslováquia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(em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 Ortodoxa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 e em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Montenegro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perante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disposições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as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fldChar w:fldCharType="begin"/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instrText xml:space="preserve"> HYPERLINK "http://www.ihu.unisinos.br/78-noticias/597287-a-liturgia-em-quarentena-e-um-modelo-de-celebracao-de-a-grillo-e-m-festi" \t "_blank" </w:instrTex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fldChar w:fldCharType="separate"/>
      </w:r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celebrações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Quaresma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e da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Páscoa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fldChar w:fldCharType="end"/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algumas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Igrejas ortodoxas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certa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dificuldade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conter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centrífugas.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 o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Sínodo da Igreja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sérvia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teve que defender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correção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acusações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ultrapassado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limites previstos (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presenças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modalidade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distribuição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eucaristia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etc.),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níveis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altos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tiveram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intervir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Moscou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29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março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 patriarca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Cirilo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advertia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ouvidos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vozes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inclusive as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provêm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clero irracional.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Ouçam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que o patriarca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lhe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(para ficar em casa).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digo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Santa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Maria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egípcia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salvou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tanto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corpo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alma”,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longa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experiência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deserto,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possibilidade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eucarísticas.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Evangélicos: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um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caso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serio</w:t>
      </w:r>
    </w:p>
    <w:p w:rsidR="00211F08" w:rsidRP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 debate dentro da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Igreja Ortodoxa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Grega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candente. O metropolita de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Mesoge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Nicolau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lembrou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“a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proibição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nunca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ocorreu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e que até mesmo o Estado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soviético “nunca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proibiu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enquanto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ocorre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parte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Respondeu-lhe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metropolita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Hieroteu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Nafpaktos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exortando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dissidentes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comportarem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houvesse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Santo Sínodo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como se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órgão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eclesial máximo 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fosse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órgão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incapazes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Geórgia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grupo de padres e teólogos 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opôs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7" w:tgtFrame="_blank" w:history="1"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Patriarca </w:t>
        </w:r>
        <w:proofErr w:type="spellStart"/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Elias</w:t>
        </w:r>
        <w:proofErr w:type="spellEnd"/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II</w:t>
        </w:r>
      </w:hyperlink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para pedir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fechamento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total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perigo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contágio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No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Chipre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houve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disputa entre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arcebispo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Crisóstomo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propunha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bispos,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incluindo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Neófilo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Morfu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diziam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contrário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curioso o caso ucraniano, em que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resistência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confinamento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fechamento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igrejas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dividiu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duas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Igrejas ortodoxas. Por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lado,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pró-russa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relutante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disposições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em cuja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Laura das Grutas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Kiev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90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monges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infectados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quatro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mosteiros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tiveram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 fechar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quarentena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e, por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 Ortodoxa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local autocéfala,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obsequiosa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Houve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contundente debate sobre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França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entre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ortodoxos e o jornal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La Croix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sobre o modo como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contada.</w:t>
      </w: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Algumas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evangélicas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livres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expressa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perigosamente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desafiantes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vírus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televangelista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estadunidense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Kenneth Copeland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publicou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vídeo no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fez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exorcismo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diretamente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vírus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várias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Igrejas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livres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defenderam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resistências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daqueles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opunham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governadores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democratas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"http://www.ihu.unisinos.br/78-noticias/597035-igrejas-estrangeiras-e-coronavirus-entre-boas-praticas-e-atitudes-inconsistentes" \t "_blank" </w:instrTex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confinamento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e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fechamento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das igrejas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Mesmo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estudo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revista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Christianity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Today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os “resistentes”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representavam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apenas 7% do total.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grave é o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caso brasileiro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onde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alguns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pastores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conhecidos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como </w:t>
      </w:r>
      <w:hyperlink r:id="rId8" w:tgtFrame="_blank" w:history="1"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Silas </w:t>
        </w:r>
        <w:proofErr w:type="spellStart"/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Malafaia</w:t>
        </w:r>
        <w:proofErr w:type="spellEnd"/>
      </w:hyperlink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superficialidade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presidente,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cujas aberturas indiscriminadas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reuniões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religiosas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interrompidas pelos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tribunais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civis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Em evidente contraste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indicações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Conferência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Episcopal católica.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caso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semelhante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ocorreu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 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Uganda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pastor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Augustin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Yiga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A ponto de convencer a revista protestante francesa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Réforme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“Fingir –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pior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pregar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– que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fé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culto,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comunhão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imunizam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contra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contágio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mentira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grave. Infantil,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talvez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sincera,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mortal. E,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portanto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loucura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loucura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criminosa”.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Colaborar: </w:t>
      </w:r>
      <w:proofErr w:type="spellStart"/>
      <w:proofErr w:type="gram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como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?</w:t>
      </w:r>
      <w:proofErr w:type="gramEnd"/>
    </w:p>
    <w:p w:rsidR="00211F08" w:rsidRP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É diferente o caso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envolvimento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responsáveis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eclesiais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determinação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disposições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contenção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relativas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culto, especialmente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definição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“</w:t>
      </w:r>
      <w:hyperlink r:id="rId9" w:tgtFrame="_blank" w:history="1"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Fase 2</w:t>
        </w:r>
      </w:hyperlink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após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quarentena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ocorreu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satisfação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recíproca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Letônia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Romênia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Alemanha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contexto,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caso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grave: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opôs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secretaria da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Conferência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Episcopal Italiana 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(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CEI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duro </w:t>
      </w:r>
      <w:hyperlink r:id="rId10" w:tgtFrame="_blank" w:history="1"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comunicado</w:t>
        </w:r>
      </w:hyperlink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26 de abril, denuncia-se: “Os bispos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aceitar que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exercício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liberdade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culto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comprometido”.</w:t>
      </w: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alta a aposta (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confronto nos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níveis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fundamentais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liberdade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democrática),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ocasional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transeunte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momento: o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-ministro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indicou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imediatamente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reunião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esclarecedora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presidência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CEI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para permitir modalidades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apropriadas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além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funerais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já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permitidos.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De fato, no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2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 presidente da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CEI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cardeal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G.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Bassetti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Expresso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satisfação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minha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dos bispos e,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eclesial por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compartilhar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linhas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acordo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–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próximas semanas,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base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evolução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curva epidemiológica – para retomar a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"http://www.ihu.unisinos.br/78-noticias/597732-missas-online-sem-povo-por-que-nao-gosto" \t "_blank" </w:instrTex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celebração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das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missas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o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povo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França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embora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mesmo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nível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italiano,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houve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significativa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disposições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relativas à “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Fase 2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Alemanha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religiões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inseriu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Corte Constitucional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duas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(breves)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sentenças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pronunciou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favor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reuniões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comunitárias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conformidade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indicações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dadas (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manifestação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católica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reunião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islâmica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Ramadã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base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liberdade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culto e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manifestação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Janela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web: a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fé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na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infosfera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e as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celebrações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virtuais</w:t>
      </w:r>
      <w:proofErr w:type="spellEnd"/>
    </w:p>
    <w:p w:rsidR="00211F08" w:rsidRP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Deus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bloqueia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porta da igreja, ele abre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janela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 navegador web”: o título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revista evangélica estadunidense indica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passagem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"http://www.ihu.unisinos.br/78-noticias/597585-a-re-descoberta-eclesial-do-ambiente-digital" \t "_blank" </w:instrTex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transmissão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distância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fortemente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encorajada pela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vírus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pároco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atento, como o Pe.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 Antonio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Torresin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“Fui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maldito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vírus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me confrontar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mundo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alheio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Consciente desde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sempre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prioridade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anúncio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Evangelho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do risco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superexposição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narcísica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tive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ceder...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comecei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dar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Criei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grupos de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WhatsApp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para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paroquianos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os amigos;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fiz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série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plataformas de </w:t>
      </w:r>
      <w:proofErr w:type="spellStart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streaming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enviei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áudios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comentários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Deus;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aceitei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vídeos curtos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comentários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sobe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catequese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os adultos”.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"http://www.ihu.unisinos.br/78-noticias/597281-a-frustracao-do-papa-francisco-com-o-coronavirus-e-o-confinamento-liturgico" \t "_blank" </w:instrTex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missa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 papa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dos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bispos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TV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alcançou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números consistentes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audiência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celular nunca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utilizado por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párocos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pastores.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comunicação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social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afetou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associações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eclesiais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especialmente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juvenis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como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escoteiros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Os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evangélicos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acostumados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espetáculo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têm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vínculo menor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igreja-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edifício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facilitados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passagem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eles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penalizados pelo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desaparecimento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dinâmica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emocional,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inexoravelmente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singular,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coletiva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Limites e oportunidades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 </w:t>
      </w:r>
      <w:proofErr w:type="spellStart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streaming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amplamente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debatidos no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dimensão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propriamente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sacramental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existe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teletransmitida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à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diferente entre o celebrante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fiéis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(simples espectadores),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desaparecimento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cola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comunitária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Para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tradição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católica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ortodoxa,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nenhuma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equiparação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celebrada e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tele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radiotransmitida, mas, para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parte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tradições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protestantes e das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evangélicas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sim.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devido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doutrina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sacramental diferente.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As oportunidades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negadas: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apreciam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fato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acompanhar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geralmente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família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inteira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reunida (o que normalmente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possível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facilidade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expandir o círculo dos 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frequentadores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redescobriram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comunhão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“espiritual” e,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dimensão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orante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meditativa. A rapidez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passagem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utilização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meios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técnicos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permitiu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superação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resistências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alguns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percepção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plena 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condicionamentos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todos.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Sem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povo</w:t>
      </w:r>
      <w:proofErr w:type="spellEnd"/>
    </w:p>
    <w:p w:rsidR="00211F08" w:rsidRP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entre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 debate sobre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transmissão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rádio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-televisiva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 </w:t>
      </w:r>
      <w:proofErr w:type="spellStart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streaming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eucaristia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ocorreu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o bispo reformado húngaro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Istaváv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B. Szabó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o teólogo ortodoxo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Jean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Ziziulas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afirma: 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epidêmica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simples é celebrar a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Santa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Ceia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culto em casa”. Basta o pastor,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ministro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webcam. 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assiste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transmissão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 igualmente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culto. É a mesma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família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Ziziulas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concordo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transmissão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televisiva da liturgia divina... considero-a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expressão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impiedade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ímpio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ficar sentado no sofá e ‘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olhar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’ a liturgia.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pode participar da liturgia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distância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Em vez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fiéis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rezem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casa”. Mesmo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ele admite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pequeno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grupo é legítima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exclui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transmitida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Mas é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necessário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haja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pequena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real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redor do celebrante.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Permanece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verdadeira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expectativa 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fiéis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reconhecerem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rito, mesmo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transmitido,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sofrendo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ausência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Igrejas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inteiras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experimentaram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perseguições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colocando em campo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certo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protagonismo laical e familiar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fecundo para o futuro.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Frequência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: </w:t>
      </w:r>
      <w:proofErr w:type="gram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salto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ou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queda, eclipse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ou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retomada?</w:t>
      </w:r>
      <w:proofErr w:type="gramEnd"/>
    </w:p>
    <w:p w:rsidR="00211F08" w:rsidRP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pároco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longa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experiência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“As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ficaram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casa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"http://www.ihu.unisinos.br/78-noticias/597168-a-propensao-laica-da-televisao-entre-igrejas-silenciosas-e-missas-ao-vivo" \t "_blank" </w:instrTex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missa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televisão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oferecida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diferentes horas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certeza de que todos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esforços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reabrir as igrejas realmente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correspondam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àquilo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acontecerá.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impressão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que as igrejas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ficarão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vazias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menos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multidões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alguns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preveem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 estado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coisas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difícil prever 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ausência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produzirá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hábito e,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portanto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confirmará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distância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contrário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exacerbará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solicitação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alimentará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presença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assembleias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eucarísticas.</w:t>
      </w: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“Entre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encorajamento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afastamento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vida litúrgica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comunitária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oferece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privada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intensa e, pelo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contrário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impulso em favor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distanciamento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respostas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contrapostas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os especialistas, e nada pode ser dito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certeza,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falta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semelhantes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“O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desafio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aceleração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perda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relevância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religiões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sociedades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já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amplamente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secularizadas. É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necessário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levar em conta o contexto em que 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instituições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religiosas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mundo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ocidental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momento em que a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crise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vírus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explodiu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Por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lado, é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que, especialmente em países como a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a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Espanha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dezenas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padres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perderam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vida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epidemia,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 ser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fator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credibilidade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J.-F. Mayer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Ligada à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frequência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pós-vírus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está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sustentabilidade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econômica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comunidades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dominical,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funerais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–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talvez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rito cuja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ausência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fortemente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sofrida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–,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comunhões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as crismas (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vezes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celebradas nos meses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primaveris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[no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hemisfério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Norte]),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ofertas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quaresmais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rituais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nupciais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atividades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formativas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juvenis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as contas das comunidades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ficando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rapidamente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vermelho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enquanto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cresce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vistosamente o pedido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ajuda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daqueles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perderam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emprego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navegam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dificuldades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párocos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os pastores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contas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cofres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vazios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condição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econômica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encaminha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para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dificuldades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crescentes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secundário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A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fé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e o futuro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comum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: 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relações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Igrejas-</w:t>
      </w: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religiões</w:t>
      </w:r>
      <w:proofErr w:type="spellEnd"/>
    </w:p>
    <w:p w:rsidR="00211F08" w:rsidRP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Durante a pandemia,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houve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tensões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Igrejas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religiões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A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Praça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São Pedro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esvaziou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os lugares santos do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Islã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Meca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Kaaba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e os templos budistas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hindus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Suspensões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culto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registradas por toda a parte: do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Paquistão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à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Malásia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da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Índia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a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Israel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entanto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especialmente onde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iniciativas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atitude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ecumênica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inter-religiosa</w:t>
      </w:r>
      <w:proofErr w:type="spellEnd"/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ocorreu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Bélgica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Alemanha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Canadá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muçulmanos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judeus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belgas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assinaram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declaração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6 de abril para admitir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senso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impotência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todos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fenômeno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hyperlink r:id="rId11" w:tgtFrame="_blank" w:history="1"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pandemia</w:t>
        </w:r>
      </w:hyperlink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ressurgimento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perguntas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fundo acerca do ser humano e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sentido. O convite é à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àqueles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linha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frente (médicos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enfermeiros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à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obediência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indicações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administrativas e à tarefa de fornecer significados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comportamentos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positivos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altruístas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surgem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Católicos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evangélicos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ortodoxos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alemães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admitem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seriedade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torna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tolerável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oportuna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renúncia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ritos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adesão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indicações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administrações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públicas. 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sairemos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existencial como esta, em que até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instituições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manifestam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todos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limites,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todos juntos.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lutando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conta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porque todo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olhar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voltado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toda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amiga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amiga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têm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 valor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significado profundo.”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Canadá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80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lideranças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comunidades católicas,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judaicas,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muçulmanas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budistas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assinaram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mensagem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30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março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intitulada “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Esperança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gratidão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solidariedade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esperança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vence 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sentimentos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angústia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medo,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gratidão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sustente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saúde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todos, e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solidariedade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aquilo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permite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recomeçar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futuro próximo.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atenção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específica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pobres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marginalizados.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aliança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necessária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religiões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perigo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apoiada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aiatolá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iraniano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Arafi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carta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Francisco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imã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responsável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importante academia religiosa de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Qom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(50.000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estudantes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destaca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responsabilidade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“de fortalecer os fundamentos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fé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proteger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promover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orações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súplicas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Deus”.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apelo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surpreendente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Nações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Unidas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secretário-geral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Antonio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Guterres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chamou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todas as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religiões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 tarefa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trabalhar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apoiar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paz no mundo e se concentrar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contra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vírus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“Que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inspiração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profunda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tempos sagrados (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Quaresma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Ramadã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Páscoa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se torne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contemplação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memória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renovação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invocou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“as comunidades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confissões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tradições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religiosas diferentes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unirem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cuidar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uns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Força</w:t>
      </w:r>
      <w:proofErr w:type="spellEnd"/>
      <w:r w:rsidRPr="00211F0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moral do papado</w:t>
      </w:r>
    </w:p>
    <w:p w:rsidR="00211F08" w:rsidRPr="00211F08" w:rsidRDefault="00211F08" w:rsidP="00211F0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É difícil subestimar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referência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moral que o papado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confirmou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tempo de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coronavírus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imagens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fldChar w:fldCharType="begin"/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instrText xml:space="preserve"> HYPERLINK "http://www.ihu.unisinos.br/78-noticias/597572-francisco-protagoniza-uma-impactante-oracao-pelo-fim-da-pandemia-em-uma-vazia-e-chuvosa-praca-sao-pedro" \t "_blank" </w:instrTex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fldChar w:fldCharType="separate"/>
      </w:r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caminho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solitário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 papa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Praça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São Pedro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vazia</w:t>
      </w:r>
      <w:proofErr w:type="spellEnd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e </w:t>
      </w:r>
      <w:proofErr w:type="spellStart"/>
      <w:r w:rsidRPr="00211F0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chuvosa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fldChar w:fldCharType="end"/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27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março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“é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imagens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fortes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pandemia”, segundo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J.-F. Mayer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noProof/>
          <w:color w:val="333333"/>
          <w:sz w:val="26"/>
          <w:szCs w:val="26"/>
          <w:lang w:val="es-UY" w:eastAsia="es-UY"/>
        </w:rPr>
        <w:drawing>
          <wp:anchor distT="0" distB="0" distL="114300" distR="114300" simplePos="0" relativeHeight="251658240" behindDoc="1" locked="0" layoutInCell="1" allowOverlap="1" wp14:anchorId="40624C56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698750" cy="1518047"/>
            <wp:effectExtent l="0" t="0" r="6350" b="6350"/>
            <wp:wrapTight wrapText="bothSides">
              <wp:wrapPolygon edited="0">
                <wp:start x="0" y="0"/>
                <wp:lineTo x="0" y="21419"/>
                <wp:lineTo x="21498" y="21419"/>
                <wp:lineTo x="21498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51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F08" w:rsidRPr="00211F08" w:rsidRDefault="00211F08" w:rsidP="00211F0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</w:pPr>
      <w:r w:rsidRPr="00211F08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 xml:space="preserve">(Foto: </w:t>
      </w:r>
      <w:proofErr w:type="spellStart"/>
      <w:r w:rsidRPr="00211F08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>Vatican</w:t>
      </w:r>
      <w:proofErr w:type="spellEnd"/>
      <w:r w:rsidRPr="00211F08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 xml:space="preserve"> Media)</w:t>
      </w: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17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milhões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acompanharam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reviram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momento. “O pontífice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voltou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ser central,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principalmente de forma dividida,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semiosfera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 ser pastor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guia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universal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santo de Deus”,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Dario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Viganò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Settimana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News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 </w:t>
      </w:r>
      <w:hyperlink r:id="rId13" w:tgtFrame="_blank" w:history="1">
        <w:r w:rsidRPr="00211F0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Cena e dramática do amor</w:t>
        </w:r>
      </w:hyperlink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dramática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ausência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autoridade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moral nos líderes políticos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atualmente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campo,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incluindo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China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EUA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elevou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papel do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referência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papado para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coerência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magistério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decisões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sinais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enviados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semanas, mesmo da parte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daqueles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viram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naquele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caminho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solitário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cansativo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“o símbolo vivo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daquele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eclipse da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religião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que, entre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coisas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parecemos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assistir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I. Testa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11F08" w:rsidRPr="00211F08" w:rsidRDefault="00211F08" w:rsidP="00211F0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“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fomos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confrontados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semanas dramáticas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diagnóstico de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inapelável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Pelo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contrário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episódio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interessante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daquela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incerta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descerrou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revoluções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modernas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cuja característica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típica é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dinamismo. É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melhor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esperar,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portanto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antes de dar por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falecidas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religiões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obra da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Covid-19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delas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antigas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Mas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têm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lado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anticorpos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eficazes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Em particular,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conservam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confiança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granítica de que 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morte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sofrimento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mal nunca </w:t>
      </w:r>
      <w:proofErr w:type="gram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</w:t>
      </w:r>
      <w:proofErr w:type="gram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 a última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parecem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celebrar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triunfos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exaltantes”, </w:t>
      </w:r>
      <w:proofErr w:type="spellStart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afirmou</w:t>
      </w:r>
      <w:proofErr w:type="spellEnd"/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Paolo Costa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proofErr w:type="spellStart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Settimana</w:t>
      </w:r>
      <w:proofErr w:type="spellEnd"/>
      <w:r w:rsidRPr="00211F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News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 </w:t>
      </w:r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“</w:t>
      </w:r>
      <w:proofErr w:type="spellStart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Prigionieri</w:t>
      </w:r>
      <w:proofErr w:type="spellEnd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di </w:t>
      </w:r>
      <w:proofErr w:type="spellStart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un'immagine</w:t>
      </w:r>
      <w:proofErr w:type="spellEnd"/>
      <w:r w:rsidRPr="00211F08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”</w:t>
      </w: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).</w:t>
      </w:r>
    </w:p>
    <w:p w:rsidR="00211F08" w:rsidRPr="00211F08" w:rsidRDefault="00211F08" w:rsidP="00211F08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1F0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</w:p>
    <w:p w:rsidR="002E2F5B" w:rsidRDefault="00211F08">
      <w:hyperlink r:id="rId14" w:history="1">
        <w:r>
          <w:rPr>
            <w:rStyle w:val="Hipervnculo"/>
          </w:rPr>
          <w:t>http://www.ihu.unisinos.br/598620-igrejas-e-virus-balanco-intermediario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08"/>
    <w:rsid w:val="00211F08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E652"/>
  <w15:chartTrackingRefBased/>
  <w15:docId w15:val="{36C1E0AC-BF06-477F-BBF5-126BC54A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78-noticias/597895-o-lobby-dos-evangelicos-contra-o-fechamento-das-igrejas" TargetMode="External"/><Relationship Id="rId13" Type="http://schemas.openxmlformats.org/officeDocument/2006/relationships/hyperlink" Target="http://www.ihu.unisinos.br/598298-francisco-cena-e-dramaticidade-do-am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185-noticias/noticias-2016/560724-francisco-a-elias-ii-nao-coloquemos-em-primeiro-plano-as-divisoes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598071-uma-pergunta-artigo-de-giorgio-agamben" TargetMode="External"/><Relationship Id="rId11" Type="http://schemas.openxmlformats.org/officeDocument/2006/relationships/hyperlink" Target="http://www.ihu.unisinos.br/78-noticias/598183-catolicos-continuam-tropecando-liturgicamente-durante-a-pandemia" TargetMode="External"/><Relationship Id="rId5" Type="http://schemas.openxmlformats.org/officeDocument/2006/relationships/hyperlink" Target="http://www.ihu.unisinos.br/78-noticias/597338-e-preciso-distinguir-entre-as-missas-digitais-e-as-das-outras-midias-afirma-teolog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hu.unisinos.br/78-noticias/598426-missas-ainda-sem-povo-bispos-italianos-contra-a-decisao-do-governo" TargetMode="External"/><Relationship Id="rId4" Type="http://schemas.openxmlformats.org/officeDocument/2006/relationships/hyperlink" Target="http://www.ihu.unisinos.br/598352-coronavirus-como-sera-a-missa-da-fase-2-mascaras-distancia-e-prudencia-assim-os-padres-da-paroquia-reabrem-as-igrejas" TargetMode="External"/><Relationship Id="rId9" Type="http://schemas.openxmlformats.org/officeDocument/2006/relationships/hyperlink" Target="http://www.ihu.unisinos.br/78-noticias/598195-e-um-trauma-que-permanecera-conosco-por-muito-tempo-na-fase-2-aumenta-o-risco-de-depressao-entrevista-com-stefano-bolognini-psicanalista" TargetMode="External"/><Relationship Id="rId14" Type="http://schemas.openxmlformats.org/officeDocument/2006/relationships/hyperlink" Target="http://www.ihu.unisinos.br/598620-igrejas-e-virus-balanco-intermediar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3642</Words>
  <Characters>20031</Characters>
  <Application>Microsoft Office Word</Application>
  <DocSecurity>0</DocSecurity>
  <Lines>166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</vt:vector>
  </HeadingPairs>
  <TitlesOfParts>
    <vt:vector size="20" baseType="lpstr">
      <vt:lpstr/>
      <vt:lpstr>Igrejas e vírus: balanço intermediário</vt:lpstr>
      <vt:lpstr>        Fontes de autoridade: poder e símbolos</vt:lpstr>
      <vt:lpstr>        </vt:lpstr>
      <vt:lpstr>        Tradicionalistas no ataque: reações às diretrizes</vt:lpstr>
      <vt:lpstr>        </vt:lpstr>
      <vt:lpstr>        Evangélicos: um caso serio</vt:lpstr>
      <vt:lpstr>        </vt:lpstr>
      <vt:lpstr>        Colaborar: como?</vt:lpstr>
      <vt:lpstr>        </vt:lpstr>
      <vt:lpstr>        Janela web: a fé na infosfera e as celebrações virtuais</vt:lpstr>
      <vt:lpstr>        </vt:lpstr>
      <vt:lpstr>        Sem povo</vt:lpstr>
      <vt:lpstr>        </vt:lpstr>
      <vt:lpstr>        Frequência: salto ou queda, eclipse ou retomada?</vt:lpstr>
      <vt:lpstr>        </vt:lpstr>
      <vt:lpstr>        A fé e o futuro comum: relações Igrejas-religiões</vt:lpstr>
      <vt:lpstr>        </vt:lpstr>
      <vt:lpstr>        Força moral do papado</vt:lpstr>
      <vt:lpstr>        </vt:lpstr>
    </vt:vector>
  </TitlesOfParts>
  <Company/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2020-05-05T12:35:00Z</dcterms:created>
  <dcterms:modified xsi:type="dcterms:W3CDTF">2020-05-05T12:38:00Z</dcterms:modified>
</cp:coreProperties>
</file>