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D6" w:rsidRDefault="00FB66D6" w:rsidP="00FB66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8"/>
          <w:szCs w:val="48"/>
          <w:lang w:val="es-UY" w:eastAsia="es-UY"/>
        </w:rPr>
      </w:pPr>
      <w:proofErr w:type="spellStart"/>
      <w:r w:rsidRPr="00FB66D6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8"/>
          <w:szCs w:val="48"/>
          <w:lang w:val="es-UY" w:eastAsia="es-UY"/>
        </w:rPr>
        <w:t>Romaria</w:t>
      </w:r>
      <w:proofErr w:type="spellEnd"/>
      <w:r w:rsidRPr="00FB66D6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8"/>
          <w:szCs w:val="48"/>
          <w:lang w:val="es-UY" w:eastAsia="es-UY"/>
        </w:rPr>
        <w:t xml:space="preserve"> como mito fundador da </w:t>
      </w:r>
      <w:proofErr w:type="spellStart"/>
      <w:r w:rsidRPr="00FB66D6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8"/>
          <w:szCs w:val="48"/>
          <w:lang w:val="es-UY" w:eastAsia="es-UY"/>
        </w:rPr>
        <w:t>luta</w:t>
      </w:r>
      <w:proofErr w:type="spellEnd"/>
      <w:r w:rsidRPr="00FB66D6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8"/>
          <w:szCs w:val="48"/>
          <w:lang w:val="es-UY" w:eastAsia="es-UY"/>
        </w:rPr>
        <w:t xml:space="preserve"> pela </w:t>
      </w:r>
      <w:proofErr w:type="spellStart"/>
      <w:r w:rsidRPr="00FB66D6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8"/>
          <w:szCs w:val="48"/>
          <w:lang w:val="es-UY" w:eastAsia="es-UY"/>
        </w:rPr>
        <w:t>terra</w:t>
      </w:r>
      <w:proofErr w:type="spellEnd"/>
      <w:r w:rsidRPr="00FB66D6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8"/>
          <w:szCs w:val="48"/>
          <w:lang w:val="es-UY" w:eastAsia="es-UY"/>
        </w:rPr>
        <w:t xml:space="preserve">. A </w:t>
      </w:r>
      <w:proofErr w:type="spellStart"/>
      <w:r w:rsidRPr="00FB66D6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8"/>
          <w:szCs w:val="48"/>
          <w:lang w:val="es-UY" w:eastAsia="es-UY"/>
        </w:rPr>
        <w:t>sacralização</w:t>
      </w:r>
      <w:proofErr w:type="spellEnd"/>
      <w:r w:rsidRPr="00FB66D6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8"/>
          <w:szCs w:val="48"/>
          <w:lang w:val="es-UY" w:eastAsia="es-UY"/>
        </w:rPr>
        <w:t xml:space="preserve"> de mártires no Norte e Nordeste do Brasil. Entrevista especial </w:t>
      </w:r>
      <w:proofErr w:type="spellStart"/>
      <w:r w:rsidRPr="00FB66D6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8"/>
          <w:szCs w:val="48"/>
          <w:lang w:val="es-UY" w:eastAsia="es-UY"/>
        </w:rPr>
        <w:t>com</w:t>
      </w:r>
      <w:proofErr w:type="spellEnd"/>
      <w:r w:rsidRPr="00FB66D6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8"/>
          <w:szCs w:val="48"/>
          <w:lang w:val="es-UY" w:eastAsia="es-UY"/>
        </w:rPr>
        <w:t xml:space="preserve"> </w:t>
      </w:r>
      <w:proofErr w:type="spellStart"/>
      <w:r w:rsidRPr="00FB66D6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8"/>
          <w:szCs w:val="48"/>
          <w:lang w:val="es-UY" w:eastAsia="es-UY"/>
        </w:rPr>
        <w:t>Edimilson</w:t>
      </w:r>
      <w:proofErr w:type="spellEnd"/>
      <w:r w:rsidRPr="00FB66D6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8"/>
          <w:szCs w:val="48"/>
          <w:lang w:val="es-UY" w:eastAsia="es-UY"/>
        </w:rPr>
        <w:t xml:space="preserve"> </w:t>
      </w:r>
      <w:proofErr w:type="spellStart"/>
      <w:r w:rsidRPr="00FB66D6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8"/>
          <w:szCs w:val="48"/>
          <w:lang w:val="es-UY" w:eastAsia="es-UY"/>
        </w:rPr>
        <w:t>Rodrigues</w:t>
      </w:r>
      <w:proofErr w:type="spellEnd"/>
      <w:r w:rsidRPr="00FB66D6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8"/>
          <w:szCs w:val="48"/>
          <w:lang w:val="es-UY" w:eastAsia="es-UY"/>
        </w:rPr>
        <w:t xml:space="preserve"> de Souza</w:t>
      </w:r>
    </w:p>
    <w:p w:rsidR="00FB66D6" w:rsidRPr="00FB66D6" w:rsidRDefault="00FB66D6" w:rsidP="00FB66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8"/>
          <w:szCs w:val="48"/>
          <w:lang w:val="es-UY" w:eastAsia="es-UY"/>
        </w:rPr>
      </w:pPr>
    </w:p>
    <w:p w:rsidR="00FB66D6" w:rsidRPr="00FB66D6" w:rsidRDefault="00FB66D6" w:rsidP="00FB66D6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</w:pPr>
      <w:r w:rsidRPr="00FB66D6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>Por: </w:t>
      </w:r>
      <w:r w:rsidRPr="00FB66D6">
        <w:rPr>
          <w:rFonts w:ascii="Arial" w:eastAsia="Times New Roman" w:hAnsi="Arial" w:cs="Arial"/>
          <w:b/>
          <w:bCs/>
          <w:color w:val="666666"/>
          <w:sz w:val="21"/>
          <w:szCs w:val="21"/>
          <w:lang w:val="es-UY" w:eastAsia="es-UY"/>
        </w:rPr>
        <w:t>Ricardo Machado | </w:t>
      </w:r>
      <w:r w:rsidRPr="00FB66D6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 xml:space="preserve">27 </w:t>
      </w:r>
      <w:proofErr w:type="spellStart"/>
      <w:r w:rsidRPr="00FB66D6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>Fevereiro</w:t>
      </w:r>
      <w:proofErr w:type="spellEnd"/>
      <w:r w:rsidRPr="00FB66D6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 xml:space="preserve"> 2020</w:t>
      </w:r>
    </w:p>
    <w:p w:rsid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hyperlink r:id="rId4" w:tgtFrame="_blank" w:history="1"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Oswald de Andrade</w:t>
        </w:r>
      </w:hyperlink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ácido provocador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costumava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dizer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 Brasil era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grilo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história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tragédia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piada é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expressa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profundamente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realidade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histórica dos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"http://www.ihu.unisinos.br/591928"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conflitos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pelo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território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no país,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origem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período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invasão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europeia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século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XVI e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desdobra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longo dos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séculos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sempre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apoio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institucional das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instâncias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poder. “O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conflito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ocorre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porque, desde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vivido o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processo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colonização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as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"http://www.ihu.unisinos.br/574669"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populações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negras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 </w:t>
      </w:r>
      <w:hyperlink r:id="rId5" w:tgtFrame="_blank" w:history="1"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indígenas</w:t>
        </w:r>
      </w:hyperlink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hyperlink r:id="rId6" w:tgtFrame="_blank" w:history="1"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espoliadas</w:t>
        </w:r>
      </w:hyperlink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acaso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incidência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conflito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está concentrada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"http://www.ihu.unisinos.br/588447"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nas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regiões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Nordeste e Norte do país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onde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grande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fluxo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migratório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incentivado pelo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 que faz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sobreposição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–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concedendo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grandes empresas e grandes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fazendeiros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– e desconsidera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presença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nesses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locais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indígenas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camponeses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entre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”, explica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"http://www.ihu.unisinos.br/596265"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Edimilson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Rodrigues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de Souza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entrevista por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telefone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 IHU On-Line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obstante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violência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tomada do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território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raro amparada por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políticas públicas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defendem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interesses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fazendeiros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empresários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condenação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 mando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assassinato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lideranças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políticas </w:t>
      </w:r>
      <w:proofErr w:type="gram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religiosas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defendem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praticamente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nula. Entre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razões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porque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rede criminosa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organizada, onde os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pistoleiros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apenas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ponta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iceberg em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vezes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sequer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sabem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verdadeiro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mandante. “A grande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complicação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chegar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mandantes dos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crimes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único mandante, e sim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grupo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encomendou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assassinatos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Existe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sindicato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pistolagem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que é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acionado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associação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fazendeiros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É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sindicato que chama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pistoleiro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que, por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vez,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sabe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contratou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que leva à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impossibilidade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investigação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profunda,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executou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assassinato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conhece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de fato, o mandante”,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descreve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entrevistado.</w:t>
      </w: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Em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meio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contexto de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violência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explícita 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contínua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as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romarias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cumprem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papel político profundo </w:t>
      </w:r>
      <w:proofErr w:type="gram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complexo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operar como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espécie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mito fundador da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luta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pela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lastRenderedPageBreak/>
        <w:t>terra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“Vejo a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Romaria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como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mito fundador, porque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reúne, em torno da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assassinada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todo o contexto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causou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assassinatos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naquele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local. Todos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elementos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compondo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narrativa do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"http://www.ihu.unisinos.br/559832"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martírio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três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dimensões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: o local do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assassinato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assassinada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memória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se faz do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assassinato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esclarece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pesquisador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“Por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qualquer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vira mártir, mas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alguém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morto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decorrência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extrema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violência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desse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conflito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terra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da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nesse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contexto. A narrativa recupera o período anterior </w:t>
      </w:r>
      <w:proofErr w:type="gram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posterior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assassinato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como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estratégia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denúncia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até onde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conflito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 levar,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limite da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violência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”, complementa.</w:t>
      </w:r>
    </w:p>
    <w:p w:rsidR="00FB66D6" w:rsidRPr="00FB66D6" w:rsidRDefault="00FB66D6" w:rsidP="00FB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FB66D6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371E21A5" wp14:editId="721E67EC">
            <wp:extent cx="5441950" cy="3627967"/>
            <wp:effectExtent l="0" t="0" r="635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01" cy="362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D6" w:rsidRPr="00FB66D6" w:rsidRDefault="00FB66D6" w:rsidP="00FB66D6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</w:pPr>
      <w:proofErr w:type="spellStart"/>
      <w:r w:rsidRPr="00FB66D6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Edimilson</w:t>
      </w:r>
      <w:proofErr w:type="spellEnd"/>
      <w:r w:rsidRPr="00FB66D6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Rodrigues</w:t>
      </w:r>
      <w:proofErr w:type="spellEnd"/>
      <w:r w:rsidRPr="00FB66D6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 xml:space="preserve"> de Souza (</w:t>
      </w:r>
      <w:proofErr w:type="spellStart"/>
      <w:r w:rsidRPr="00FB66D6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Imagem</w:t>
      </w:r>
      <w:proofErr w:type="spellEnd"/>
      <w:r w:rsidRPr="00FB66D6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 xml:space="preserve">: acervo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pessoal</w:t>
      </w:r>
      <w:proofErr w:type="spellEnd"/>
      <w:r w:rsidRPr="00FB66D6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)</w:t>
      </w:r>
    </w:p>
    <w:p w:rsidR="000B5AC0" w:rsidRDefault="000B5AC0" w:rsidP="00FB66D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</w:pP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Edimilson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Rodrigues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Souza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é antropólogo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professor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universitário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Graduado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mestre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Ciências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Universidade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Federal do Pará - UFPA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Universidade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Federal do Espírito Santo -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Ufes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doutor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Antropologia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Social pela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Unicamp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passagem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 Centre Maurice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Halbwachs-França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pelo Afro-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Latin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American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Research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Institute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 Harvard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University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-Estados Unidos. Realiza pesquisas etnográficas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camponeses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indígenas nos Estados do Pará, Mato Grosso, Tocantins e Pernambuco. Membro da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Associação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Brasileira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Antropologia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- ABA, da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Associação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Brasilianistas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Europa - ABRE e do Centro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Estudos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Rurais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- CERES-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Unicamp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FB66D6" w:rsidRDefault="00FB66D6" w:rsidP="00FB66D6">
      <w:pPr>
        <w:spacing w:after="0" w:line="240" w:lineRule="auto"/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</w:pPr>
    </w:p>
    <w:p w:rsid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</w:pP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Confira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a entrevista.</w:t>
      </w: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</w:pPr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IHU On-Line – O tema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sua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tese é a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sacralização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lideranças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camponesas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e indígenas em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conflitos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terra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no Brasil. </w:t>
      </w:r>
      <w:proofErr w:type="gram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Como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descrever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situação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atual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do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conflito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, especialmente no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Meio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-Norte e Nordeste do Brasil?</w:t>
      </w:r>
      <w:proofErr w:type="gramEnd"/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sz w:val="27"/>
          <w:szCs w:val="27"/>
          <w:lang w:val="es-UY" w:eastAsia="es-UY"/>
        </w:rPr>
      </w:pPr>
    </w:p>
    <w:p w:rsid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Edimilson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Rodrigues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Souza –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Para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possamos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entender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contextos de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conflito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terra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é preciso levar em conta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história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colonização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Os portugueses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chegaram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anos 1500 e desde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então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-se espoliado 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populações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pressionando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migração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litoral para o interior do país.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avanço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exploração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litoral,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começou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investida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exploração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centro do país a partir das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bandeiras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paulistas. A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"http://www.ihu.unisinos.br/576943"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Lei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de 1850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faz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concessões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grupo específico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exclui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camponeses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populações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negras de modo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geral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conflito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ocorre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porque, desde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vivido o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processo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colonização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as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populações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negras e indígenas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espoliadas.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acaso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incidência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conflito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está concentrada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regiões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Nordeste e Norte do país, onde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grande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fluxo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migratório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incentivado pelo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faz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sobreposição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concedendo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grandes empresas </w:t>
      </w:r>
      <w:proofErr w:type="gram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grandes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fazendeiros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– e desconsidera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presença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nesses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locais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indígenas 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camponeses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entre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FB66D6" w:rsidRDefault="00FB66D6" w:rsidP="00FB66D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O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conflito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se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desdobra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até os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dias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atuais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, porque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isso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é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muito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presente –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públicas ocupadas por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povos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tradicionais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 a disputa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fazendeiros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, incentivados </w:t>
      </w:r>
      <w:proofErr w:type="gram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</w:t>
      </w:r>
      <w:proofErr w:type="gram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financiados por agentes do poder público –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Edimilson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Rodrigues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de Souza</w:t>
      </w:r>
    </w:p>
    <w:p w:rsidR="00FB66D6" w:rsidRPr="00FB66D6" w:rsidRDefault="00FB66D6" w:rsidP="00FB66D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Todo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político leva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conflitos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eclodem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maneira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drástica no </w:t>
      </w:r>
      <w:hyperlink r:id="rId8" w:tgtFrame="_blank" w:history="1"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período militar</w:t>
        </w:r>
      </w:hyperlink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porque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havia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plano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integralização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país em que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oferecia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públicas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empresários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fazendeiros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 pesquisa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aponta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final da década de 1960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início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1970,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 </w:t>
      </w:r>
      <w:hyperlink r:id="rId9" w:tgtFrame="_blank" w:history="1"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plano de </w:t>
        </w:r>
        <w:proofErr w:type="spellStart"/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integração</w:t>
        </w:r>
        <w:proofErr w:type="spellEnd"/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nacional</w:t>
        </w:r>
      </w:hyperlink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concedendo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públicas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latifundiários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grileiros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Desde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então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conflitos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entre indígenas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personagens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agravaram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porque se trata de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estatais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 públicas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ocupadas tradicionalmente pelas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populações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nativas.</w:t>
      </w:r>
    </w:p>
    <w:p w:rsidR="00FB66D6" w:rsidRDefault="00FB66D6" w:rsidP="00FB66D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conflito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desdobra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até 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porque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presente –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públicas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ocupadas por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povos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tradicionais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a disputa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fazendeiros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incentivados </w:t>
      </w:r>
      <w:proofErr w:type="gram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financiados por agentes do poder público,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espoliação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décadas de 1950, 1960 e 1970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"http://www.ihu.unisinos.br/526957"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construção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de estradas no interior da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FC6B01"/>
          <w:sz w:val="27"/>
          <w:szCs w:val="27"/>
          <w:lang w:val="es-UY" w:eastAsia="es-UY"/>
        </w:rPr>
        <w:t>Amazônia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vamos ter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construção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ferrovias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exportar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minério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tudo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produz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atmosfera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conflito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porque estas estradas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ferrovias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por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tradicionalmente ocupadas por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povos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indígenas,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quilombolas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camponeses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Embora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populações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tenham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documentos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propriedade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território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têm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porque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ali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desde períodos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imemoráveis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O contexto do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conflito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terra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atual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sempre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extrativistas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minério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madeira –,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necessidade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escoamento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monocultivo de soja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milho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estados como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Mato Grosso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Pará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Tocantins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 abertura de estradas;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tudo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financiamento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público porque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interessa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restringe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abarca todos 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Brasil, desde os períodos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remotos, em que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crescimento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economia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foco o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monocultivo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exploração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economia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baseada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produção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familiar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FB66D6" w:rsidRPr="00FB66D6" w:rsidRDefault="00FB66D6" w:rsidP="00FB66D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Se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imediatamente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romaria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tem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rosto de evento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mais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religioso,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olhando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mais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atenção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, no caso das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Romarias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da Terra, da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Água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, dos Mártires da Floresta,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ela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é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acontecimento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político –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Edimilson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Rodrigues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de Souza</w:t>
      </w:r>
    </w:p>
    <w:p w:rsidR="00FB66D6" w:rsidRPr="00FB66D6" w:rsidRDefault="00FB66D6" w:rsidP="00FB66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sz w:val="27"/>
          <w:szCs w:val="27"/>
          <w:lang w:val="es-UY" w:eastAsia="es-UY"/>
        </w:rPr>
      </w:pPr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IHU On-Line – Como as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romarias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em defesa do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direito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dos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territórios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dos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povos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nativos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dão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vistas à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violência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que marca a sangrenta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história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brasileira da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luta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pela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terra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?</w:t>
      </w: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Edimilson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Rodrigues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Souza –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A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romaria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é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espaço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reunião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Participam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pequenos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lutando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cotidiano por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melhores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condições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vida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fundamentais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pela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água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pelo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floresta, à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plantação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pelo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à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romarias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aglutinação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forças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vêm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várias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regiões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próximas a onde a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romaria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acontece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regiões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distantes.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Vai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criando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rede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notícias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que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romaria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vai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acontecer.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imediatamente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romaria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rosto de evento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religioso,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olhando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atenção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no caso das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Romarias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da Terra, da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Água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, dos Mártires da Floresta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acontecimento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político, no sentido de que reúne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lideranças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locais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importantes,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lideranças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políticas,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ativistas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Nesta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reunião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possibilidade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diálogo, colocando-se em contraste contextos diversos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luta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entender que a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luta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terra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daquele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lugar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excepcionalidade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exceção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regra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É a partir da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romaria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produzem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denúncias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coletivas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estratégias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coletivas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luta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Por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que, por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romaria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apareciam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fazendo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romarias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percebem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realidades próximas,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similaridades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conflito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resistência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luta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 que a pesquisa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mostrou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que os participantes das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romarias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têm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crescido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número, o que articula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"http://www.ihu.unisinos.br/567186"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volume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maior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de demandas e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denúncias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violações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direitos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humanos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como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vida e à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0B5AC0" w:rsidRPr="00FB66D6" w:rsidRDefault="000B5AC0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FB66D6" w:rsidRPr="00FB66D6" w:rsidRDefault="00FB66D6" w:rsidP="00FB6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FB66D6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19FD937B" wp14:editId="6E6EA6D5">
            <wp:extent cx="5340350" cy="3003947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92" cy="300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D6" w:rsidRPr="00FB66D6" w:rsidRDefault="00FB66D6" w:rsidP="00FB66D6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</w:pPr>
      <w:proofErr w:type="spellStart"/>
      <w:r w:rsidRPr="00FB66D6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Romaria</w:t>
      </w:r>
      <w:proofErr w:type="spellEnd"/>
      <w:r w:rsidRPr="00FB66D6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 xml:space="preserve"> dos Mártires, em 2016. Foto: CPT</w:t>
      </w:r>
    </w:p>
    <w:p w:rsidR="000B5AC0" w:rsidRDefault="000B5AC0" w:rsidP="00FB66D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</w:pPr>
    </w:p>
    <w:p w:rsid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</w:pPr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IHU On-Line – Levando em conta dados da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Comissão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Pastoral da Terra – CPT, entre 1985 e 2017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foram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assassinadas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1.904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pessoas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em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conflitos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no campo,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mas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apenas 113 casos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foram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julgados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. </w:t>
      </w:r>
      <w:proofErr w:type="gram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O que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esses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dados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revelam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sobre o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cenário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de disputa por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terras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e sobre o papel do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judiciário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neste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contexto?</w:t>
      </w:r>
      <w:proofErr w:type="gramEnd"/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sz w:val="27"/>
          <w:szCs w:val="27"/>
          <w:lang w:val="es-UY" w:eastAsia="es-UY"/>
        </w:rPr>
      </w:pP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Edimilson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Rodrigues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Souza –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É preciso entender os números em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articulação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ampla.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primeira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coisa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que os mandantes dos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assassinatos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envolvem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diretamente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Durante a pesquisa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houve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recorrentes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narrativas sobre sindicatos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pistolagem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prestam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serviços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agrupamentos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fazendeiros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– o chamado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consórcio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–,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contratam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pistoleiros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polícia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investiga, normalmente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chega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figura do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pistoleiro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alguns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deles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presos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respondem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processos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judiciais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 grande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complicação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chegar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mandantes dos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crimes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único mandante, e sim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grupo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encomendou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assassinatos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sociólogo </w:t>
      </w:r>
      <w:hyperlink r:id="rId11" w:tgtFrame="_blank" w:history="1"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César </w:t>
        </w:r>
        <w:proofErr w:type="spellStart"/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Barreira</w:t>
        </w:r>
        <w:proofErr w:type="spellEnd"/>
      </w:hyperlink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Crimes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por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encomenda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entrevistar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pistoleiros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encarceramento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revelou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existe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sindicato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pistolagem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que é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acionado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 grupos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fazendeiros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É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sindicato que chama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pistoleiro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que, por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vez,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sabe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contratou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que leva à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impossibilidade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investigação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profunda,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executou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assassinato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conhece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de fato, o mandante.</w:t>
      </w:r>
    </w:p>
    <w:p w:rsid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justiça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investiga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casos, por conta,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pressão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internacional,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de defesa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humanos. Trata-se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internos </w:t>
      </w:r>
      <w:proofErr w:type="spellStart"/>
      <w:proofErr w:type="gram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spellEnd"/>
      <w:proofErr w:type="gram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externos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pressão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justiça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 limite é que o poder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judiciário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normalmente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chega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pistoleiro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dificilmente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mandante, porque ele usa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atravessador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encomendar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morte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explica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distância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entre o número de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pessoas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assassinadas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o de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pessoas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incriminadas pelos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assassinatos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"http://www.ihu.unisinos.br/588964"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crescimento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dos números de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violência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na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disputa por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terra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nos últimos anos,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me parece </w:t>
      </w:r>
      <w:hyperlink r:id="rId12" w:tgtFrame="_blank" w:history="1"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está </w:t>
        </w:r>
        <w:proofErr w:type="spellStart"/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associado</w:t>
        </w:r>
        <w:proofErr w:type="spellEnd"/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</w:t>
        </w:r>
        <w:proofErr w:type="spellStart"/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ao</w:t>
        </w:r>
        <w:proofErr w:type="spellEnd"/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</w:t>
        </w:r>
        <w:proofErr w:type="spellStart"/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crescimento</w:t>
        </w:r>
        <w:proofErr w:type="spellEnd"/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dos grupos políticos de extrema </w:t>
        </w:r>
        <w:proofErr w:type="spellStart"/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direita</w:t>
        </w:r>
        <w:proofErr w:type="spellEnd"/>
      </w:hyperlink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olharmos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os dados desde 2016,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"http://www.ihu.unisinos.br/566752"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após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o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impeachment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número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ameaças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morte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assassinatos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criminalização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aumentou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elite política no poder que está afinada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movimentos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extrema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direita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indica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senso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impunidade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como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houvesse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contexto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permissão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cometerem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crimes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campo,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violação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contra 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populações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posseiros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populações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tradicionais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</w:pPr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IHU On-Line – Como se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caracterizou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(e se caracteriza) o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trabalho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missionários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dos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setores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mais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progressistas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da Igreja Católica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nestas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regiões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conflito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desde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década de 1970?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Quais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as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diferenças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entre o período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ditadura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 civil-militar e,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após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, da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redemocratização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?</w:t>
      </w: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sz w:val="27"/>
          <w:szCs w:val="27"/>
          <w:lang w:val="es-UY" w:eastAsia="es-UY"/>
        </w:rPr>
      </w:pPr>
    </w:p>
    <w:p w:rsid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Edimilson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Rodrigues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Souza –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chegada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missionários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europeus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Brasil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a partir da década de 1960 pode ser explicada porque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havia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naquele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momento,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debate do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"http://www.ihu.unisinos.br/593212"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pós-Concílio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Vaticano II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abertura da Igreja Católica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proximidade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base,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tinha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debate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igreja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próxima do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Entre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coisas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houve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substituição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realização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missa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latim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os idiomas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vernaculares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presença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leigos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igreja,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indicativo de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estava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abrindo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vários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teólogos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marcam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período como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igreja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próxima dos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populares.</w:t>
      </w: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Ocorrem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depois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Concílio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conferências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episcopais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importantes, realizadas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América Latina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bispos do continente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estavam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afinados à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proposta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traduzir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pastoral da igreja Católica </w:t>
      </w:r>
      <w:proofErr w:type="gram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latino-americana</w:t>
      </w:r>
      <w:proofErr w:type="gram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orientações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do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Concílio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significa que todos os bispos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estavam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afinados, porque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havia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bispos ligados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hyperlink r:id="rId13" w:tgtFrame="_blank" w:history="1"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extrema </w:t>
        </w:r>
        <w:proofErr w:type="spellStart"/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direita</w:t>
        </w:r>
        <w:proofErr w:type="spellEnd"/>
      </w:hyperlink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religiosos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conservadores, mas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cresceu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número de religiosos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tinham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inclinação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setores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progressistas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diálogos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próximos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populações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viviam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situação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vulnerabilidade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social,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exclusão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 pobreza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FB66D6" w:rsidRPr="00FB66D6" w:rsidRDefault="00FB66D6" w:rsidP="00FB66D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Isso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indica o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senso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impunidade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, como se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houvesse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contexto de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permissão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maior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para se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cometerem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crimes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no campo, de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violação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contra as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populações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indígenas,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posseiros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populações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tradicionais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–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Edimilson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Rodrigues</w:t>
      </w:r>
      <w:proofErr w:type="spellEnd"/>
      <w:r w:rsidRPr="00FB66D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de Souza</w:t>
      </w:r>
    </w:p>
    <w:p w:rsidR="00FB66D6" w:rsidRPr="00FB66D6" w:rsidRDefault="00FB66D6" w:rsidP="00FB66D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É nos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encontros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hyperlink r:id="rId14" w:tgtFrame="_blank" w:history="1"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Medellín</w:t>
        </w:r>
      </w:hyperlink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 </w:t>
      </w:r>
      <w:hyperlink r:id="rId15" w:tgtFrame="_blank" w:history="1">
        <w:r w:rsidRPr="00FB66D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Puebla</w:t>
        </w:r>
      </w:hyperlink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décadas de 1960 e 1970,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começa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ser formulado o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viria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chamar,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depois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"http://www.ihu.unisinos.br/516832"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Teologia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da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Libertação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proposta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teológica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marcadamente latino-americana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pensa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tipo de cristianismo que leva em conta o contexto da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América Latina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de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populações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indígenas e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camponesas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vivem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exclusão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exploração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desde o período colonial.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mesmo tempo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ocorre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emergência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civil-militares,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golpes de estado no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Brasil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Chile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Argentina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Alguns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missionários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vêm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Brasil, como americanos,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espanhóis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franceses,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mobilizados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igreja “nova”,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pós-concílio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Vaticano II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 por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acreditarem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a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América Latina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seria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espaço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profícuo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colocar em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prática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modelo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cristã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solidarizasse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populações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marginalizadas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historicamente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propositivo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estratégias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tomada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consciência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básicos: à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recursos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moradia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digna,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saúde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educação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missionários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vinham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 </w:t>
      </w:r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Brasil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naquele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período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passavam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curso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formação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Centro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Formação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Intercultural -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Cenfi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no Rio de Janeiro, para aprender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português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e, como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disseram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durante a pesquisa,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chegavam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ali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professores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diziam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vocês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vieram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catequizar </w:t>
      </w:r>
      <w:proofErr w:type="gram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evangelizar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voltar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países,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vocês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vieram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trabalhar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junto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ficar”.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Então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aquilo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era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curso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língua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portuguesa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transformou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curso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formação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política,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valores dos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esquerda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"http://www.ihu.unisinos.br/508900"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b/>
          <w:bCs/>
          <w:color w:val="FC6B01"/>
          <w:sz w:val="27"/>
          <w:szCs w:val="27"/>
          <w:lang w:val="es-UY" w:eastAsia="es-UY"/>
        </w:rPr>
        <w:t>teoria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FC6B01"/>
          <w:sz w:val="27"/>
          <w:szCs w:val="27"/>
          <w:lang w:val="es-UY" w:eastAsia="es-UY"/>
        </w:rPr>
        <w:t xml:space="preserve"> marxista</w:t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 e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na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FC6B01"/>
          <w:sz w:val="27"/>
          <w:szCs w:val="27"/>
          <w:lang w:val="es-UY" w:eastAsia="es-UY"/>
        </w:rPr>
        <w:t>teologia</w:t>
      </w:r>
      <w:proofErr w:type="spellEnd"/>
      <w:r w:rsidRPr="00FB66D6">
        <w:rPr>
          <w:rFonts w:ascii="Georgia" w:eastAsia="Times New Roman" w:hAnsi="Georgia" w:cs="Times New Roman"/>
          <w:b/>
          <w:bCs/>
          <w:color w:val="FC6B01"/>
          <w:sz w:val="27"/>
          <w:szCs w:val="27"/>
          <w:lang w:val="es-UY" w:eastAsia="es-UY"/>
        </w:rPr>
        <w:t xml:space="preserve"> da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FC6B01"/>
          <w:sz w:val="27"/>
          <w:szCs w:val="27"/>
          <w:lang w:val="es-UY" w:eastAsia="es-UY"/>
        </w:rPr>
        <w:t>libertação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para pensar em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propositivas da Igreja Católica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expressas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Conselho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Indigenista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Missionário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– 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Cimi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Comissão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Pastoral da Terra - CPT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organismos ligados à igreja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forte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leigos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constituíram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espaços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mediação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formação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política.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Além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disso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estabelecidas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próximas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setores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universidade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pública, articulando programas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educação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popular, organizados por religiosos,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ativistas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base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lideranças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políticas.</w:t>
      </w: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FB66D6" w:rsidRPr="00FB66D6" w:rsidRDefault="00FB66D6" w:rsidP="00FB66D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chegada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missionários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articulação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deles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populares,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força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interior da igreja,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pelas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inclinações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texto do </w:t>
      </w:r>
      <w:proofErr w:type="spellStart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Concílio</w:t>
      </w:r>
      <w:proofErr w:type="spellEnd"/>
      <w:r w:rsidRPr="00FB66D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Vaticano II</w: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conferências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episcopais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participação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bispos brasileiros, como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"http://www.ihu.unisinos.br/587043"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dom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Hélder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Câmara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"http://www.ihu.unisinos.br/530938"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dom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Tomás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Balduíno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"http://www.ihu.unisinos.br/593403"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dom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Pedro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Casaldáliga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se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dá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contexto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articulação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interna da Igreja no Brasil e religiosos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estrangeiros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que, pelo fato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naturais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países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europeus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norte-americanos,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seriam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facilmente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perseguidos e presos,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torturados. Veja 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prisão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dois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padres franceses, em São Geraldo do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Araguaia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no Pará,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década de 1980, 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"http://www.ihu.unisinos.br/19363" \t "_blank" </w:instrText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Aristides</w:t>
      </w:r>
      <w:proofErr w:type="spellEnd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Camio e François </w:t>
      </w:r>
      <w:proofErr w:type="spellStart"/>
      <w:r w:rsidRPr="00FB66D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Gouriou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presos e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julgados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condições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completamente diferentes em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FB66D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brasileiros.</w:t>
      </w:r>
    </w:p>
    <w:p w:rsidR="002E2F5B" w:rsidRDefault="002E2F5B"/>
    <w:p w:rsidR="000B5AC0" w:rsidRDefault="000B5AC0">
      <w:hyperlink r:id="rId16" w:history="1">
        <w:r>
          <w:rPr>
            <w:rStyle w:val="Hipervnculo"/>
          </w:rPr>
          <w:t>http://www.ihu.unisinos.br/596464-romaria-como-mito-fundador-da-luta-pela-terra-a-sacralizacao-de-martires-no-norte-e-nordeste-do-brasil-entrevista-especial-com-edimilson-rodrigues-de-souza</w:t>
        </w:r>
      </w:hyperlink>
      <w:bookmarkStart w:id="0" w:name="_GoBack"/>
      <w:bookmarkEnd w:id="0"/>
    </w:p>
    <w:sectPr w:rsidR="000B5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D6"/>
    <w:rsid w:val="000B5AC0"/>
    <w:rsid w:val="002E2F5B"/>
    <w:rsid w:val="00FB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C79B"/>
  <w15:chartTrackingRefBased/>
  <w15:docId w15:val="{2DA764A5-AB9F-459F-A4CA-BCBEA05C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B5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9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016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078672442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223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170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566225" TargetMode="External"/><Relationship Id="rId13" Type="http://schemas.openxmlformats.org/officeDocument/2006/relationships/hyperlink" Target="http://www.ihu.unisinos.br/58951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ihu.unisinos.br/59538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hu.unisinos.br/596464-romaria-como-mito-fundador-da-luta-pela-terra-a-sacralizacao-de-martires-no-norte-e-nordeste-do-brasil-entrevista-especial-com-edimilson-rodrigues-de-souz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hu.unisinos.br/584071" TargetMode="External"/><Relationship Id="rId11" Type="http://schemas.openxmlformats.org/officeDocument/2006/relationships/hyperlink" Target="http://www.ihu.unisinos.br/509253" TargetMode="External"/><Relationship Id="rId5" Type="http://schemas.openxmlformats.org/officeDocument/2006/relationships/hyperlink" Target="http://www.ihu.unisinos.br/582140" TargetMode="External"/><Relationship Id="rId15" Type="http://schemas.openxmlformats.org/officeDocument/2006/relationships/hyperlink" Target="http://www.ihu.unisinos.br/593171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ihu.unisinos.br/575229" TargetMode="External"/><Relationship Id="rId9" Type="http://schemas.openxmlformats.org/officeDocument/2006/relationships/hyperlink" Target="http://www.ihu.unisinos.br/524054" TargetMode="External"/><Relationship Id="rId14" Type="http://schemas.openxmlformats.org/officeDocument/2006/relationships/hyperlink" Target="http://www.ihu.unisinos.br/57949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2804</Words>
  <Characters>15425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Romaria como mito fundador da luta pela terra. A sacralização de mártires no Nor</vt:lpstr>
      <vt:lpstr/>
    </vt:vector>
  </TitlesOfParts>
  <Company/>
  <LinksUpToDate>false</LinksUpToDate>
  <CharactersWithSpaces>18193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2020-02-27T13:18:00Z</dcterms:created>
  <dcterms:modified xsi:type="dcterms:W3CDTF">2020-02-27T13:34:00Z</dcterms:modified>
</cp:coreProperties>
</file>