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7A" w:rsidRPr="00B86F7A" w:rsidRDefault="00B86F7A" w:rsidP="00B86F7A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B86F7A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El día que mataron a Ellacuría</w:t>
      </w:r>
    </w:p>
    <w:p w:rsidR="00B86F7A" w:rsidRPr="00B86F7A" w:rsidRDefault="00B86F7A" w:rsidP="00B86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D0FFAB7" wp14:editId="49EA0091">
            <wp:extent cx="5378450" cy="3020624"/>
            <wp:effectExtent l="0" t="0" r="0" b="8890"/>
            <wp:docPr id="1" name="Imagen 1" descr="El día que mataron a Ellacu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ía que mataron a Ellacurí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52" cy="30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7A" w:rsidRPr="00B86F7A" w:rsidRDefault="00B86F7A" w:rsidP="00B86F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El día que mataron a Ellacuría</w:t>
      </w:r>
    </w:p>
    <w:p w:rsidR="00B86F7A" w:rsidRPr="00B86F7A" w:rsidRDefault="00B86F7A" w:rsidP="00B86F7A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bookmarkStart w:id="0" w:name="_GoBack"/>
      <w:bookmarkEnd w:id="0"/>
      <w:r w:rsidRPr="00B86F7A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Pocos días antes que lo mataran Ignacio Ellacuría vino a verme y me dijo: “Pedro: las cosas están muy mal en El Salvador. Quieren matarme. Pero no creo que lleguen a tanto. Lo que te aseguro es que no callaré”.</w:t>
      </w:r>
    </w:p>
    <w:p w:rsidR="00B86F7A" w:rsidRPr="00B86F7A" w:rsidRDefault="00B86F7A" w:rsidP="00B86F7A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86F7A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El testimonio de los mártires sigue interpelándonos</w:t>
      </w:r>
    </w:p>
    <w:p w:rsidR="00B86F7A" w:rsidRPr="00B86F7A" w:rsidRDefault="00B86F7A" w:rsidP="00B86F7A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B86F7A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 xml:space="preserve">13.11.2019 | Pedro Miguel </w:t>
      </w:r>
      <w:proofErr w:type="spellStart"/>
      <w:r w:rsidRPr="00B86F7A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Lamet</w:t>
      </w:r>
      <w:proofErr w:type="spellEnd"/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 16 de noviembre de 1989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día que mataron a Ellacuría -este sábado hará 30 años- 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yo estaba en un restaurante, almorzando con los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informadores religiosos 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de los </w:t>
      </w:r>
      <w:proofErr w:type="gram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medios  de</w:t>
      </w:r>
      <w:proofErr w:type="gramEnd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Madrid. Presidía el “patriarca” de entonces,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Martín Descalzo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que pocos días antes había escrito en ABC un artículo contra Ellacuría.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Me llamaron al teléfono del restaurante 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-entonces no había móvil- para darme la noticia del asesinato de los jesuitas y las cocineras de la UCA.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Lo comuniqué a mis colegas y se quedaron de piedra.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Tres días antes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había venido a mi casa a verme Ignacio Ellacuría.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Manteníamos relaciones estrechas, porque él seguía con interés el semanario “Vida Nueva” de entonces, que a la sazón yo dirigía,  y muchas veces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le había llevado en mi coche por las calles de Madrid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En ocasiones para visitar a Carmen Conde, esposa de Zubiri, del que Ignacio era especialista. Meses antes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él, Sobrino y Jon Cortina 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me invitaron a comer para pedirme que escribiera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una biografía de Rutilio Grande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otro mártir jesuita salvadoreño, muy amigo de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monseñor Romero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que ahora está en avanzado proceso de canonización y que ya cuenta con una </w:t>
      </w:r>
      <w:proofErr w:type="spell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bunea</w:t>
      </w:r>
      <w:proofErr w:type="spellEnd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biografía. Pero aquel día Ignacio me pidió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que montara la 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lastRenderedPageBreak/>
        <w:t>Facultad de Comunicación de la UCA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Le dije que estaba muy cogido entonces por el periodismo y los libros y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le presenté a Norberto Alcover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que </w:t>
      </w:r>
      <w:proofErr w:type="spell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finalamente</w:t>
      </w:r>
      <w:proofErr w:type="spellEnd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se encargó de lo de la facultad.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Podéis imaginar cómo me quedé cuando escuché la noticia.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Me impresionó el impacto unánime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con que respondieron los medios de comunicación españoles e internacionales. Sólo Martín Descalzo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no se atrevió a escribir 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sobre el tema, por haberlo descalificado semanas antes.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Que medios laicos como “El País”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dieran al caso tanta cobertura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probaba que hay causas como la justicia, que </w:t>
      </w:r>
      <w:proofErr w:type="gramStart"/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en  este</w:t>
      </w:r>
      <w:proofErr w:type="gramEnd"/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 caso brotaba de un compromiso cristiano, que son indiscutibles.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Era la herencia de una línea marcada por</w:t>
      </w:r>
      <w:r w:rsidRPr="00B86F7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 Pedro Arrupe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y </w:t>
      </w:r>
      <w:proofErr w:type="gram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el  </w:t>
      </w:r>
      <w:proofErr w:type="spell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</w:t>
      </w:r>
      <w:proofErr w:type="spellEnd"/>
      <w:proofErr w:type="gramEnd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famoso Decreto IV asumido por la Congregación General de la Compañía. Hoy han muerto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más de un centenar de jesuitas en todo el mundo por defender los derechos de los pobres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Pero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ni El Salvador ni en la Iglesia se ha hecho justicia. 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Los culpables siguen libres. El proceso de beatificación y canonización de estos hombres, sacerdotes y religiosos, que dieron su vida desde la fe por el Cristo de carne y hueso crucificado en El Salvador. (Como lo hizo Romero, felizmente canonizado) está en espera, pues la Postulación de la Compañía anda muy ocupada con Rutilio Grande y el gran padre Arrupe.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¿</w:t>
      </w:r>
      <w:proofErr w:type="spellStart"/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Ellacu</w:t>
      </w:r>
      <w:proofErr w:type="spellEnd"/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 y sus compañeros no tenían defectos? 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Claro que sí, como cualquier hombre y </w:t>
      </w:r>
      <w:proofErr w:type="gram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como  todos</w:t>
      </w:r>
      <w:proofErr w:type="gramEnd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los mártires y santos. A Ignacio, por ejemplo,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le acusaban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como suele suceder a los que tienen capacidad de liderazgo,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de ser un poco dictador en la Universidad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Pero lo grande es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dar la vida cuando uno es débil y frágil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Ellacuría también lo era. Se puede apreciar en su voz un poco temblorosa. Aquella tarde que estuvo en mi casa me dijo: “Pedro: las cosas están muy mal en El Salvador. Quieren matarme. Pero no creo que lleguen a tanto. Lo que te aseguro es que no callaré”. </w:t>
      </w: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Me limité a darle un abrazo y sentir vergüenza.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¡Regresó a El Salvador al día siguiente sabiendo que seguramente lo iban a matar! Al fin y al cabo mis riesgos eran sólo de papel y tinta,  y de </w:t>
      </w:r>
      <w:proofErr w:type="gram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que  acabaran</w:t>
      </w:r>
      <w:proofErr w:type="gramEnd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borrándome, como sucedió años después, durante algún tiempo de los medios. Pero él fue asesinado; yo aquí sigo, vivo y coleando.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Hoy me atrevo a rezarles: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Querido Ignacio y Compañeros Mártires: Rogad por la Iglesia, para que siga como vosotros dando su vida y su sangre por amor </w:t>
      </w:r>
      <w:proofErr w:type="gramStart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  la</w:t>
      </w:r>
      <w:proofErr w:type="gramEnd"/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liberación integral de los pobres, deprimidos, maltratados y olvidados de este mundo. Amén.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También he querido honrar su memoria en este soneto: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EL JARDÍN DE LA SANGRE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(A los mártires de El Salvador)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Se ha quebrado la noche enamorada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en el jardín de sangre de la vida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donde nacieron rosas de una herida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y se enterraron sueños de alborada.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Se pudre en el silencio y sepultada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aquella carne noble y abatida,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mientras pierden los pobres la partida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en la guerra del dólar desatada.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Pero esa voz que calla entre los muertos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sigue gritando al mundo con más bríos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la plenitud que vuestra muerte inicia,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que es hora de cambiar nuestros desiertos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por el mar que anunciaban vuestros ríos:</w:t>
      </w: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¡Amor es combatir por la justicia!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Pedro Miguel </w:t>
      </w:r>
      <w:proofErr w:type="spellStart"/>
      <w:r w:rsidRPr="00B86F7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Lamet</w:t>
      </w:r>
      <w:proofErr w:type="spellEnd"/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B86F7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Mi entrevista sobre el tema con Radio ECCA de Canarias:</w:t>
      </w:r>
    </w:p>
    <w:p w:rsidR="00B86F7A" w:rsidRPr="00B86F7A" w:rsidRDefault="00B86F7A" w:rsidP="00B86F7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hyperlink r:id="rId6" w:history="1">
        <w:r w:rsidRPr="00B86F7A">
          <w:rPr>
            <w:rFonts w:ascii="Arial" w:eastAsia="Times New Roman" w:hAnsi="Arial" w:cs="Arial"/>
            <w:color w:val="D49400"/>
            <w:sz w:val="21"/>
            <w:szCs w:val="21"/>
            <w:lang w:val="es-UY" w:eastAsia="es-UY"/>
          </w:rPr>
          <w:t>http://www.ivoox.com/hace-20-anos-el-salvador-audios-mp3_rf_155391_1.html</w:t>
        </w:r>
      </w:hyperlink>
    </w:p>
    <w:p w:rsidR="00B86F7A" w:rsidRPr="00B86F7A" w:rsidRDefault="00B86F7A" w:rsidP="00B86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B86F7A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hyperlink r:id="rId7" w:tgtFrame="_blank" w:history="1">
        <w:r w:rsidRPr="00B86F7A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https://www.religiondigital.org/pedro_miguel_lamet/dia-mataron-Ellacuria_7_2176652331.html</w:t>
        </w:r>
      </w:hyperlink>
    </w:p>
    <w:p w:rsidR="00B86F7A" w:rsidRPr="00B86F7A" w:rsidRDefault="00B86F7A" w:rsidP="00B86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6CFE"/>
    <w:multiLevelType w:val="multilevel"/>
    <w:tmpl w:val="508C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A"/>
    <w:rsid w:val="002E2F5B"/>
    <w:rsid w:val="00B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867F-41A1-4BD6-BEF3-3E01F672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7A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043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1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pedro_miguel_lamet/dia-mataron-Ellacuria_7_21766523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oox.com/hace-20-anos-el-salvador-audios-mp3_rf_155391_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El día que mataron a Ellacuría</vt:lpstr>
      <vt:lpstr>    Pocos días antes que lo mataran Ignacio Ellacuría vino a verme y me dijo: “Pedro</vt:lpstr>
      <vt:lpstr>    El testimonio de los mártires sigue interpelándonos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2019-11-14T11:07:00Z</dcterms:created>
  <dcterms:modified xsi:type="dcterms:W3CDTF">2019-11-14T11:08:00Z</dcterms:modified>
</cp:coreProperties>
</file>