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3D" w:rsidRPr="00EF753D" w:rsidRDefault="00EF753D" w:rsidP="00EF753D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'¿Profecía o herejía?' Los ecos del Sínodo de la Amazonía, en Madrid</w:t>
      </w:r>
      <w:r w:rsidRPr="00EF753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... y la Madre Tierra se hizo Evangelio. Y habitó entre nosotros</w:t>
      </w:r>
    </w:p>
    <w:p w:rsidR="00EF753D" w:rsidRPr="00EF753D" w:rsidRDefault="00EF753D" w:rsidP="00EF7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bookmarkStart w:id="0" w:name="_GoBack"/>
      <w:r w:rsidRPr="00EF753D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E1CF797" wp14:editId="094C428D">
            <wp:extent cx="5397500" cy="3031323"/>
            <wp:effectExtent l="0" t="0" r="0" b="0"/>
            <wp:docPr id="8" name="Imagen 8" descr="'¿Profecía o herejía'?, mesa redonda sobre el Sínodo de la Amazon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¿Profecía o herejía'?, mesa redonda sobre el Sínodo de la Amazoní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85" cy="30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</w:p>
    <w:p w:rsidR="00EF753D" w:rsidRP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"Más que ser ordenadas, queremos participar en el proceso, y no ser excluidas en la toma de decisiones. Y eso no debe ser así. Tenemos que participar de todo. Porque el día en que nosotras nos pongamos en huelga, vamos a ver cómo será la Iglesia sin las mujeres"</w:t>
      </w:r>
    </w:p>
    <w:p w:rsidR="00EF753D" w:rsidRP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Las imágenes robadas y tiradas al río, recuperadas, presidieron el encuentro, organizado en los jesuitas de Serrano y convocado por PPC, </w:t>
      </w:r>
      <w:proofErr w:type="spellStart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Entreculturas</w:t>
      </w:r>
      <w:proofErr w:type="spellEnd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el Banco Sabadell</w:t>
      </w:r>
    </w:p>
    <w:p w:rsidR="00EF753D" w:rsidRP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Berzosa: “Yo mujer, en esta estructura de Iglesia, no me gustaría ser ordenada. En otra estructura, puede ser que sí"</w:t>
      </w:r>
    </w:p>
    <w:p w:rsidR="00EF753D" w:rsidRP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María Luisa Berzosa, el cardenal Porras, </w:t>
      </w:r>
      <w:proofErr w:type="spellStart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Arizete</w:t>
      </w:r>
      <w:proofErr w:type="spellEnd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Miranda y Fernando López, </w:t>
      </w:r>
      <w:proofErr w:type="spellStart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sj</w:t>
      </w:r>
      <w:proofErr w:type="spellEnd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., protagonistas del debate</w:t>
      </w:r>
    </w:p>
    <w:p w:rsidR="00EF753D" w:rsidRP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proofErr w:type="spellStart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Arizete</w:t>
      </w:r>
      <w:proofErr w:type="spellEnd"/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: "Celebramos, presidimos, y a Dios no le hacemos ningún mal. El día en que nos pongamos en huelga, vamos a ver cómo será la Iglesia sin las mujeres"</w:t>
      </w:r>
    </w:p>
    <w:p w:rsidR="00EF753D" w:rsidRP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Porras: "Hay que avanzar para que las mujeres no sólo hablen, sino que tengan voto"</w:t>
      </w:r>
    </w:p>
    <w:p w:rsidR="00EF753D" w:rsidRPr="00EF753D" w:rsidRDefault="00EF753D" w:rsidP="00EF753D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Fernando López: Este es un tiempo de profecía, de anuncio y de denuncia. Es necesario un proyecto común que defienda la vida de los pobres"</w:t>
      </w:r>
    </w:p>
    <w:p w:rsidR="00EF753D" w:rsidRPr="00EF753D" w:rsidRDefault="00EF753D" w:rsidP="00EF753D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EF753D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30.10.2019 </w:t>
      </w:r>
      <w:hyperlink r:id="rId6" w:history="1">
        <w:r w:rsidRPr="00EF753D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Jesús Bastante</w:t>
        </w:r>
      </w:hyperlink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Unas figuras.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La Madre Tierra. La vida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Las mismas que fueron robadas y arrojadas al Tíber por los enemigos del Espíritu. Las mismas que fueron recuperadas, y asistieron al fin del histórico Sínodo de la Amazonía. Esas imágenes de la Pachamama presidían esta tarde el magnífico coloquio que, bajo el título '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¿Profecía o herejía?'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congregó a más de doscientas personas en el auditorio de los jesuitas de Serrano. El auditorio del Banco Sabadell, escenario previsto, se quedó tan pequeño que hubo que cambiar a última hora.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No tuvieron desde el </w:t>
      </w:r>
      <w:hyperlink r:id="rId7" w:history="1">
        <w:r w:rsidRPr="00EF753D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Sabadell</w:t>
        </w:r>
      </w:hyperlink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PPC y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Entreculturas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miedo a cambiar con tan poco tiempo. Tampoco tienen miedo los padres, y madres, sinodales que participaron en la mesa redonda, acompañados por una veintena de indígenas y los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cardenales </w:t>
      </w:r>
      <w:proofErr w:type="spellStart"/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Osoro</w:t>
      </w:r>
      <w:proofErr w:type="spellEnd"/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 y Amigo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que asistían, maravillados, en primera fila, como uno más. Y si el miedo existe, sirve para seguir avanzando, como apuntó la brasileña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Arizete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Miranda, auditora del Sínodo, haciendo vibrar al auditorio. "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Tengamos miedo, pero avancemos. Todos los puntos nuevos tenían menos votos, pero ¡pasamos!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". La pura verdad.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Moderados por el director de Vida Nueva,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José Beltrán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y presentados por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Santiago Portas,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del Banco Sabadell, participaron cuatro tertulianos de lujo: </w:t>
      </w:r>
      <w:proofErr w:type="spellStart"/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Arizete</w:t>
      </w:r>
      <w:proofErr w:type="spellEnd"/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 y Fernando López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(jesuita, cuatro décadas en la Amazonía; y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María Luisa Berzosa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jesuitina y miembro de la secretaría general del Sínodo, y el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cardenal Porras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presidente del Sínodo.</w:t>
      </w:r>
    </w:p>
    <w:p w:rsidR="00EF753D" w:rsidRPr="00EF753D" w:rsidRDefault="00EF753D" w:rsidP="00EF753D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Porras votó sí a todos los puntos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Un Porras que, desde el principio, confesó haber votado 'Sí' a los 120 puntos del documento final. "Hay que ampliar la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ministerialidad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Como bautizados tenemos la misma responsabilidad", apuntó el cardenal venezolano.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Para Berzosa, ha sido “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un Sínodo profético, pero la profecía tiene algo de herético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porque supone abrir caminos nuevos, y muchos cambios y conversiones. No es ortodoxo, no es muy formal, no es muy legislativo... ¡pero el espíritu es así!”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Para Fernando López, este tiempo “es un tiempo de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kairós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de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profecía, de anuncio y de denuncia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”. “Vivimos en un tiempo en que el sistema económico y político está fatal, y dentro de la Iglesia también tenemos problemas muy serios”, proclamó. Por eso, “es necesario un proyecto común que defienda la vida de los pobres”.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“Esta Iglesia nos invita a darnos las manos para que el cambio suceda”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añadió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Arizete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quien pidió “ayudar al Papa Francisco, que nos invita a crear cosas nuevas. Juntos podemos hacer la diferencia del nuevo camino”.</w:t>
      </w:r>
    </w:p>
    <w:p w:rsidR="00EF753D" w:rsidRPr="00EF753D" w:rsidRDefault="00EF753D" w:rsidP="00EF753D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Todos somos un poco fariseos, un poco publicanos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Por su parte, Porras planteó las palabras del Papa sobre el desborde. “El desborde no es cumplir con la ley, es ir más allá. Vale la pena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reescuchar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la homilía del domingo, porque lo del fariseo y el publicano fue una pedrada para todos. Todos tenemos un poquito de fariseos y de publicanos”. ¿Qué quiere decir esto? “Que hay que apostar por una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sinodalidad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horizontal: 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aquí somos todos bautizados, tenemos la misma exigencia”.</w:t>
      </w:r>
    </w:p>
    <w:p w:rsidR="00EF753D" w:rsidRPr="00EF753D" w:rsidRDefault="00EF753D" w:rsidP="00EF753D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F753D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8534C19" wp14:editId="3418AA6D">
            <wp:extent cx="4400550" cy="3300413"/>
            <wp:effectExtent l="0" t="0" r="0" b="0"/>
            <wp:docPr id="9" name="Imagen 9" descr="Las imágenes de la Pachamama, en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s imágenes de la Pachamama, en Mad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92" cy="33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Fue el primer sínodo en el que hablaron tantas mujeres, y laicos, y expertos, y que, añadió tiene que ver “</w:t>
      </w: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cómo avanzar para que no solamente hablen, sino que tengan voto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”. “Se abren dinámicas para encontrar nuevos caminos. A todos nos cuesta cambiar. Tenemos que estar en permanente cambio. Creatividad y coraje, ésa es la herejía”.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“Ninguno soñamos hace cinco años un Sínodo de la Amazonía”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apuntó Fernando. “Hay algo que está naciendo, todos estamos sorprendidos, un poco asustados... Seguir dialogando sin miedo. Tenemos que avanzar por aguas más profundas”.</w:t>
      </w:r>
    </w:p>
    <w:p w:rsidR="00EF753D" w:rsidRPr="00EF753D" w:rsidRDefault="00EF753D" w:rsidP="00EF753D">
      <w:pPr>
        <w:shd w:val="clear" w:color="auto" w:fill="FFFFFF"/>
        <w:spacing w:line="240" w:lineRule="auto"/>
        <w:jc w:val="both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F753D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E9B38AB" wp14:editId="35FCF56C">
            <wp:extent cx="5630333" cy="4222750"/>
            <wp:effectExtent l="0" t="0" r="8890" b="6350"/>
            <wp:docPr id="10" name="Imagen 10" descr="Un momento de la mesa red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 momento de la mesa redon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50" cy="422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3D" w:rsidRPr="00EF753D" w:rsidRDefault="00EF753D" w:rsidP="00EF753D">
      <w:pPr>
        <w:shd w:val="clear" w:color="auto" w:fill="FFFFFF"/>
        <w:spacing w:after="15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Curas casados, mujeres ministras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Respecto a los dos grandes temas, el sacerdocio para casados y el papel de la mujer, Porras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lamenó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que las trabas “vienen por el poder y el miedo”. “La ordenación de los '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viri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probati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' no es destruir el celibato ni el sacerdocio, ni plantear que hay necesidad de las cosas porque hay escasez. Debemos tener esperanza, y saber ver lo que nos dejaron, ser nosotros los que recibamos el testigo, y no lo enterremos con cara de velorio”.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“Los nuevos ministerios sirven para ver cómo ampliar la atención a las personas”, explicó Berzosa.</w:t>
      </w:r>
    </w:p>
    <w:p w:rsidR="00EF753D" w:rsidRPr="00EF753D" w:rsidRDefault="00EF753D" w:rsidP="00EF753D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“Es verdad que nos preocupamos de las necesidades básicas (salud, educación, alimento...), ¿y cuándo llegan las necesidades espirituales? ¿No se puede atender a las personas si no hay un sacerdote varón? ¿No será que el Espíritu va a suscitar nuevas formas?”.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“Yo mujer, en esta estructura de Iglesia, no me gustaría ser ordenada. En otra estructura, puede ser que sí. Cuando tiene que venir una persona de fuera del grupo (en ejercicios) a confesar o celebrar, suena raro”, confesó.</w:t>
      </w:r>
    </w:p>
    <w:p w:rsidR="00EF753D" w:rsidRPr="00EF753D" w:rsidRDefault="00EF753D" w:rsidP="00EF753D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"Celebramos, presidimos, y a Dios no le hacemos ningún mal"</w:t>
      </w:r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reveló </w:t>
      </w:r>
      <w:proofErr w:type="spellStart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Arizete</w:t>
      </w:r>
      <w:proofErr w:type="spellEnd"/>
      <w:r w:rsidRPr="00EF753D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"Nos han contado que Jesús de Nazaret, con su presencia sencilla y humilde, curaba, sanaba a las personas. Y nosotros y nosotras, sanados por dentro, también podemos hacerlo". "Más que ser ordenadas, queremos participar en el proceso, y no ser excluidas en la toma de decisiones. Y eso no debe ser así. Tenemos que participar de todo. Porque el día en que nosotras nos pongamos en huelga, vamos a ver cómo será la Iglesia sin las mujeres".</w:t>
      </w:r>
    </w:p>
    <w:p w:rsidR="00EF753D" w:rsidRPr="00EF753D" w:rsidRDefault="00EF753D" w:rsidP="00EF753D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EF753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Cuatro palabras. Para María Luisa Berzosa, esperanza; para Fernando; profecía; para </w:t>
      </w:r>
      <w:proofErr w:type="spellStart"/>
      <w:r w:rsidRPr="00EF753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Arizete</w:t>
      </w:r>
      <w:proofErr w:type="spellEnd"/>
      <w:r w:rsidRPr="00EF753D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, pacto; para Porras, alegría. Cuatro palabras para un camino que construir. Y una oración-danza en la que todos participaron, unidos de la mano, bailando y cantando. Desde los cardenales a los indígenas, todos unidos de la mano. En una misma iglesia de Jesús.</w:t>
      </w:r>
    </w:p>
    <w:p w:rsidR="00EF753D" w:rsidRPr="00EF753D" w:rsidRDefault="00EF753D" w:rsidP="00EF753D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F753D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3D9CCF0" wp14:editId="0AEFBCAF">
            <wp:extent cx="5486400" cy="4114800"/>
            <wp:effectExtent l="0" t="0" r="0" b="0"/>
            <wp:docPr id="11" name="Imagen 11" descr="Oración final del encu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ación final del encuent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74" cy="41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3D" w:rsidRPr="00EF753D" w:rsidRDefault="00EF753D" w:rsidP="00EF75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FF"/>
          <w:sz w:val="30"/>
          <w:szCs w:val="30"/>
          <w:u w:val="single"/>
          <w:lang w:val="es-UY" w:eastAsia="es-UY"/>
        </w:rPr>
      </w:pPr>
      <w:r w:rsidRPr="00EF753D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begin"/>
      </w:r>
      <w:r w:rsidRPr="00EF753D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instrText xml:space="preserve"> HYPERLINK "javascript:;" </w:instrText>
      </w:r>
      <w:r w:rsidRPr="00EF753D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separate"/>
      </w:r>
    </w:p>
    <w:p w:rsidR="00EF753D" w:rsidRPr="00EF753D" w:rsidRDefault="00EF753D" w:rsidP="00EF7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s-UY" w:eastAsia="es-UY"/>
        </w:rPr>
      </w:pPr>
      <w:r w:rsidRPr="00EF753D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end"/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353C"/>
    <w:multiLevelType w:val="multilevel"/>
    <w:tmpl w:val="E94A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3D"/>
    <w:rsid w:val="002E2F5B"/>
    <w:rsid w:val="00E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6813"/>
  <w15:chartTrackingRefBased/>
  <w15:docId w15:val="{729337F1-B713-44A0-98C2-0E129A0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3D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405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6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23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098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697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99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6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0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ancsabadell.com/cs/Satellite/SabAtl/Instituciones-religiosas/6000034471481/es/?rtg=rtg:nf-religiondigital:nc-done:c-done_hucha:f-robapaginas:t-300x250:mp-cpm:ga-hav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esus_bastant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>'¿Profecía o herejía?' Los ecos del Sínodo de la Amazonía, en Madrid... y la Mad</vt:lpstr>
      <vt:lpstr>    </vt:lpstr>
      <vt:lpstr>    "Más que ser ordenadas, queremos participar en el proceso, y no ser excluidas en</vt:lpstr>
      <vt:lpstr>    Las imágenes robadas y tiradas al río, recuperadas, presidieron el encuentro, or</vt:lpstr>
      <vt:lpstr>    Berzosa: “Yo mujer, en esta estructura de Iglesia, no me gustaría ser ordenada. </vt:lpstr>
      <vt:lpstr>    María Luisa Berzosa, el cardenal Porras, Arizete Miranda y Fernando López, sj., </vt:lpstr>
      <vt:lpstr>    Arizete: "Celebramos, presidimos, y a Dios no le hacemos ningún mal. El día en q</vt:lpstr>
      <vt:lpstr>    Porras: "Hay que avanzar para que las mujeres no sólo hablen, sino que tengan vo</vt:lpstr>
      <vt:lpstr>    Fernando López: Este es un tiempo de profecía, de anuncio y de denuncia. Es nece</vt:lpstr>
      <vt:lpstr>    Porras votó sí a todos los puntos</vt:lpstr>
      <vt:lpstr>    Todos somos un poco fariseos, un poco publicanos</vt:lpstr>
      <vt:lpstr>    Curas casados, mujeres ministras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2019-10-31T11:49:00Z</dcterms:created>
  <dcterms:modified xsi:type="dcterms:W3CDTF">2019-10-31T11:51:00Z</dcterms:modified>
</cp:coreProperties>
</file>