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</w:tblGrid>
      <w:tr w:rsidR="00A47A2D" w:rsidRPr="00A47A2D" w:rsidTr="00A47A2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6"/>
            </w:tblGrid>
            <w:tr w:rsidR="00A47A2D" w:rsidRPr="00A47A2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6"/>
                  </w:tblGrid>
                  <w:tr w:rsidR="00A47A2D" w:rsidRPr="00A47A2D" w:rsidTr="00A47A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7A2D" w:rsidRPr="00A47A2D" w:rsidRDefault="00A47A2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bookmarkStart w:id="0" w:name="_GoBack"/>
                        <w:r w:rsidRPr="00A47A2D">
                          <w:rPr>
                            <w:b/>
                            <w:sz w:val="36"/>
                            <w:szCs w:val="36"/>
                          </w:rPr>
                          <w:t>Informe situación actual</w:t>
                        </w:r>
                      </w:p>
                      <w:tbl>
                        <w:tblPr>
                          <w:tblW w:w="9000" w:type="dxa"/>
                          <w:tblCellSpacing w:w="0" w:type="dxa"/>
                          <w:tblInd w:w="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47A2D" w:rsidRPr="00A47A2D" w:rsidTr="00A47A2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bookmarkEnd w:id="0"/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23 de agosto de 2019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Olá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a conta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chegou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para espanto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quem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achava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moderar-se-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cadeira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presidencial </w:t>
                              </w:r>
                              <w:proofErr w:type="gram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</w:t>
                              </w:r>
                              <w:proofErr w:type="gram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seria controlado pelas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instituições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Está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acontecendo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exatamente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contrário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como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previam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aqueles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tiveram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visão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cegada pelo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ódio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PT. E 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consequências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catastróficas.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1. A Era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Fogo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das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Trevas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.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deveria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surpreender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desregulamentação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total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legislação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ambiental combinada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estímulo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agronegócio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só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poderia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resultar no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maior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número de queimadas dos últimos cinco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anos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aumento de 83% nos focos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incêndio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comparação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mesmo período do ano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passado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 </w:t>
                              </w:r>
                              <w:hyperlink r:id="rId5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Como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mostra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o El País, o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fogo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segue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o rastro do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agronegócio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em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sua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maioria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áreas privadas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invadindo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reservas indígenas. Por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trás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tudo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a certeza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impunidade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Força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Nacional,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ajudava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IBAMA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fiscalização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retirada de Novo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Progresso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município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“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celebrou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” o “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fogo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”.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Isso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contar o ataque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Inpe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a defesa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garimpo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ameaças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servidores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órgãos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ambientais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chanceladas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pelo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próprio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governo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consequências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incêndios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chegaram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São Paulo, </w:t>
                              </w:r>
                              <w:hyperlink r:id="rId6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que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anoiteceu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no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meio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da tarde e teve a chuva contaminada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ainda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poderão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causar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redução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chuvas em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outras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regiões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país,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Argentina,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Paraguai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Uruguai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"http://e.allin.ponto.jor.br/bendar/?atmca=7905407&amp;atmme=14864&amp;atmte=1&amp;atmso=ck&amp;utm_content=246565547&amp;atmem=cmFpbGRhaGVycmVyb0BnbWFpbC5jb20=&amp;"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afetando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também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a conta e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fornecimento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energia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elétrica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.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exército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bolsonarista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entrou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campo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sua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frente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boataria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reproduzindo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discurso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próprio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presidente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questionando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hyperlink r:id="rId7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até os satélites da Nasa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Portanto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só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deixar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claro: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pesquisadores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sérios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concluíram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breu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São Paulo se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tratava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partículas </w:t>
                              </w:r>
                              <w:hyperlink r:id="rId8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provenientes de queimadas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ocorridas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nas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regiões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Centro-Oeste e Norte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entre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Paraguai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Mato Grosso,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abrangendo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trechos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Bolívia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Mato Grosso do Sul e Rondônia.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palavras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pesquisador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Inpe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especialista no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estudo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dos “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rios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voadores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”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Amazônia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"http://e.allin.ponto.jor.br/bendar/?atmca=7905407&amp;atmme=14864&amp;atmte=1&amp;atmso=ck&amp;utm_content=246565532&amp;atmem=cmFpbGRhaGVycmVyb0BnbWFpbC5jb20=&amp;"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há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nenhuma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dúvida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de que São Paulo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foi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atingida pela pluma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fumaça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fuligem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das queimadas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amazônicas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gram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Culpa das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ONGs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?</w:t>
                              </w:r>
                              <w:proofErr w:type="gram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governador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Amazonas, aliado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capaz de repetir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tolice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afirmando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óbvio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: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"http://e.allin.ponto.jor.br/bendar/?atmca=7905407&amp;atmme=14864&amp;atmte=1&amp;atmso=ck&amp;utm_content=246565551&amp;atmem=cmFpbGRhaGVycmVyb0BnbWFpbC5jb20=&amp;"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há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“discurso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permissividade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” que parte do presidente da República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que estimula as queimadas e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desmatamento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A retórica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ignorância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mobiliza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gado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bolsonarista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situação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agora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"http://e.allin.ponto.jor.br/bendar/?atmca=7905407&amp;atmme=14864&amp;atmte=1&amp;atmso=ck&amp;utm_content=246565570&amp;atmem=cmFpbGRhaGVycmVyb0BnbWFpbC5jb20=&amp;"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causou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crise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proporções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internacionais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polêmica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torno do Fundo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Amazônia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agência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alemã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DW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prevê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 </w:t>
                              </w:r>
                              <w:hyperlink r:id="rId9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as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relações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comerciais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entre Brasil e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Alemanha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devem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sofrer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um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retrocesso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quinta (22)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vez do presidente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francês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hyperlink r:id="rId10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Emmanuel Macron convocar o G7 para tratar o tema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 </w:t>
                              </w:r>
                              <w:hyperlink r:id="rId11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situação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brasileira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implodiu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o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acordo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UE-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Mercosul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e a candidatura do país à OCDE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também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deverá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ser duramente </w:t>
                              </w:r>
                              <w:proofErr w:type="spellStart"/>
                              <w:proofErr w:type="gram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rechaçada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,.</w:t>
                              </w:r>
                              <w:proofErr w:type="gram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hyperlink r:id="rId12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imprensa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alemã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inclusive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defende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que o Brasil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sofra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sanções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econômicas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reagiu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como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sempre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: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atacou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Macron,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afirmou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o Brasil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estava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sob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ataque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insinuou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novamente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ONGs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estariam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trás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incêndios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hyperlink r:id="rId13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por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fim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cogitou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possibilidade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de que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sejam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mesmo os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fazendeiros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os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responsáveis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,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pedindo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para que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população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denunciasse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incendiários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pelo Twitter.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Vale lembrar que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recém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aprovada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hyperlink r:id="rId14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MP da “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Liberdade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Econômica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”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cria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mais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facilidades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aos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desmatamentos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: autoriza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desmatamento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automático caso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órgãos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meio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ambiente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atrasem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emissão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licenças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ambientais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dispensam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licenças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sejam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considerados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baixo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impacto.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Enquanto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isso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governadores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Amazônia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Legal,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repetindo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ideia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consórcio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Nordeste,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"http://e.allin.ponto.jor.br/bendar/?atmca=7905407&amp;atmme=14864&amp;atmte=1&amp;atmso=ck&amp;utm_content=246565561&amp;atmem=cmFpbGRhaGVycmVyb0BnbWFpbC5jb20=&amp;"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pretendem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negociar em bloco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Alemanha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e Noruega para que 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próprios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estados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passem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gerir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o Fundo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Amazônia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Protestos contra a política ambiental e pela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preservação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Amazônia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devem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"http://e.allin.ponto.jor.br/bendar/?atmca=7905407&amp;atmme=14864&amp;atmte=1&amp;atmso=ck&amp;utm_content=246565540&amp;atmem=cmFpbGRhaGVycmVyb0BnbWFpbC5jb20=&amp;"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ocorrer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em pelo menos 21 estados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neste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final de semana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A 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lastRenderedPageBreak/>
                                <w:t xml:space="preserve">Rede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Sustentabilidade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 partido de Marina Silva,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"http://e.allin.ponto.jor.br/bendar/?atmca=7905407&amp;atmme=14864&amp;atmte=1&amp;atmso=ck&amp;utm_content=246565542&amp;atmem=cmFpbGRhaGVycmVyb0BnbWFpbC5jb20=&amp;"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protocolou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pedido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impeachment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do ministro Ricardo Salles,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STF.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Pressionado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assinou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despacho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quinta (22) </w:t>
                              </w:r>
                              <w:hyperlink r:id="rId15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determinando que os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ministérios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adotem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medidas de combate à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série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de queimadas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2. A República do banana.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Seria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irônico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fosse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trágico. Os mesmos agentes públicos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passaram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os últimos anos brincando de Batman contra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corrupção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agora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mostram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espantados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governo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ajudaram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eleger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controlando 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órgãos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controle.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começar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pela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Receita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Federal, onde 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pressões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levaram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à troca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subsecretário-geral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"http://e.allin.ponto.jor.br/bendar/?atmca=7905407&amp;atmme=14864&amp;atmte=1&amp;atmso=ck&amp;utm_content=246565515&amp;atmem=cmFpbGRhaGVycmVyb0BnbWFpbC5jb20=&amp;"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devem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provocar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mudanças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no alto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escalão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governo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avançou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também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sobre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Conselho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Controle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Atividades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Financeiras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(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Coaf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),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órgão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motivou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passeatas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contra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corrupção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: </w:t>
                              </w:r>
                              <w:hyperlink r:id="rId16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a MP publicada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na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terça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(20) no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Diário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Oficial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transfere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Coaf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para o Banco Central e muda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nome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organismo para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Unidade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Inteligência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Financeira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mudança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importante está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composição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órgão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: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novo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Coaf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será integrado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também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conselho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deliberativo, formado por "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cidadãos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brasileiros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reputação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ilibada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reconhecidos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conhecimentos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".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Atualmente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composto apenas por servidores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efetivos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órgãos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como BC, CVM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Receita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 </w:t>
                              </w:r>
                              <w:hyperlink r:id="rId17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o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órgão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agora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passará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a ser formado pelo presidente da UIF e por entre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oito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e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quatorze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conselheiros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indicações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serão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feitas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pelo presidente do Banco Central, cargo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atualmente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ocupado por Roberto Campos Neto.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Nesta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mesma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toada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deve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entrar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nomeação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próximo Procurador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Geral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República.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nome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forte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até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agora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é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indicação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Flavio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: o subprocurador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Antônio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Carlos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Simões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Martins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Soares,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desconhecido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dentro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próprio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MP,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"http://e.allin.ponto.jor.br/bendar/?atmca=7905407&amp;atmme=14864&amp;atmte=1&amp;atmso=ck&amp;utm_content=246565576&amp;atmem=cmFpbGRhaGVycmVyb0BnbWFpbC5jb20=&amp;"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réu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por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falsificação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assinatura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aposentadoria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cancelada por “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possíveis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irregularidades”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Soares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diz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cursou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Escola Superior de Guerra, mas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"http://e.allin.ponto.jor.br/bendar/?atmca=7905407&amp;atmme=14864&amp;atmte=1&amp;atmso=ck&amp;utm_content=246565577&amp;atmem=cmFpbGRhaGVycmVyb0BnbWFpbC5jb20=&amp;"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existe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nenhum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registro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comprove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gram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Mas o que importa?</w:t>
                              </w:r>
                              <w:proofErr w:type="gram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Afinal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 o que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"http://e.allin.ponto.jor.br/bendar/?atmca=7905407&amp;atmme=14864&amp;atmte=1&amp;atmso=ck&amp;utm_content=246565583&amp;atmem=cmFpbGRhaGVycmVyb0BnbWFpbC5jb20=&amp;"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e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filho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precisam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é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engavetador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geral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prospere 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denúncias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contra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clã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lembra Bernardo Mello Franco. Os rumores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indicação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soaram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muito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mal entre os procuradores e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Folha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apurou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nomeação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geraria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cenário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“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"http://e.allin.ponto.jor.br/bendar/?atmca=7905407&amp;atmme=14864&amp;atmte=1&amp;atmso=ck&amp;utm_content=246565558&amp;atmem=cmFpbGRhaGVycmVyb0BnbWFpbC5jb20=&amp;"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ingovernabilidade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diversos grupos se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digladiando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diante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procurador-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geral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sem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mínimo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autoridade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"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O desgaste se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estende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à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"http://e.allin.ponto.jor.br/bendar/?atmca=7905407&amp;atmme=14864&amp;atmte=1&amp;atmso=ck&amp;utm_content=246565534&amp;atmem=cmFpbGRhaGVycmVyb0BnbWFpbC5jb20=&amp;"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Receita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Federal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alvo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das garras do presidente </w:t>
                              </w:r>
                              <w:hyperlink r:id="rId18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que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não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quer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parecer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um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banana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também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Polícia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Federal, </w:t>
                              </w:r>
                              <w:hyperlink r:id="rId19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o que respinga em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Sérgio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Moro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passa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semana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ser desautorizado pelo presidente.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situação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levou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site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Antagonista,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diário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oficial da Lava Jato, a sugerir que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"http://e.allin.ponto.jor.br/bendar/?atmca=7905407&amp;atmme=14864&amp;atmte=1&amp;atmso=ck&amp;utm_content=246565525&amp;atmem=cmFpbGRhaGVycmVyb0BnbWFpbC5jb20=&amp;"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tem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coragem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de demitir Moro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O ministro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Justiça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aliás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pio até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agora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sobre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essas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mudanças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anunciadas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executadas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pelo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chefe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"http://e.allin.ponto.jor.br/bendar/?atmca=7905407&amp;atmme=14864&amp;atmte=1&amp;atmso=ck&amp;utm_content=246565514&amp;atmem=cmFpbGRhaGVycmVyb0BnbWFpbC5jb20=&amp;"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silêncio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que incomoda delegados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Polícia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Federal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Nota no Painel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Folha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desta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sexta (23)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diz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"http://e.allin.ponto.jor.br/bendar/?atmca=7905407&amp;atmme=14864&amp;atmte=1&amp;atmso=ck&amp;utm_content=246565557&amp;atmem=cmFpbGRhaGVycmVyb0BnbWFpbC5jb20=&amp;"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ganhou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pontos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políticos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rodados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interferir nos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órgãos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de controle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embora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postura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tenha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riscos, e que a Moro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só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cabe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aguentar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calado.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Reportagem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Extra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vai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mesma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linha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informando que aliados de Moro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dizem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 </w:t>
                              </w:r>
                              <w:hyperlink r:id="rId20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o ministro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não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pensa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em pedir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demissão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deixando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esse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eventual desgaste para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3.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Estranhas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preocupações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presidenciais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.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Parece que por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trás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destas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mudanças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há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algo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presidente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autoritário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buscando controlar 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órgãos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controle.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Isso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porque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demonstra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atenção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especial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repartições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aparentemente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pouco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importantes no Rio de Janeiro.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começar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demissão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superintendente da PF no Rio, Ricardo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Saadi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teria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relação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direta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falta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ingerência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delegado sobre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investigações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envolvendo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família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em especial sobre o senador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Flávio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 </w:t>
                              </w:r>
                              <w:hyperlink r:id="rId21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De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acordo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com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reportagem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da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Folha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investigação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dentro da PF sobre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operação-abafa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no caso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Marielle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é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dos grandes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mistérios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Brasília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“O que se sabe é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há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montanha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sigilos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telefônicos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fiscais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quebrados à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disposição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dos investigadores”,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diz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autor do texto, Igor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Gielow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indicando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Saadi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colaborou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essa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investigação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tocada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Brasília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Além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desse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caso, está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investigação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sobre gastos irregulares identificados pelo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Coaf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contas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Fabrício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Queiroz.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Além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superintendência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PF no Rio,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seu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entorno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demonstram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preocupação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especial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Receita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Federal no Porto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Itaguaí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"http://e.allin.ponto.jor.br/bendar/?atmca=7905407&amp;atmme=14864&amp;atmte=1&amp;atmso=ck&amp;utm_content=246565563&amp;atmem=cmFpbGRhaGVycmVyb0BnbWFpbC5jb20=&amp;"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cujo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delegado, José Nóbrega Oliveira,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esteve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ameaçado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exoneração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nesta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semana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Segundo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matéria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jornal O Globo,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região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é dominada pela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milícia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Os problemas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graves no Porto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Itaguaí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diz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matéria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saída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drogas para a Europa e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chegada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armas dentro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contêineres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provenientes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Ásia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Lembrando que,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além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Receita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Polícia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Federal,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anda preocupado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direções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hospitais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federais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Rio de Janeiro.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Nesta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semana,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promoveu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mudanças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direções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hospitais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Andaraí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Bonsucesso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Como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pano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fundo,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resistências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por parte dos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antigos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diretores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nomearem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políticos aliados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estranha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presença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milícia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particular no hospital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Bonsucesso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 </w:t>
                              </w:r>
                              <w:hyperlink r:id="rId22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como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aponta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esta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reportagem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do O Globo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atuação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duas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faces. Como chama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atenção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Kennedy Alencar,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tirar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credibilidade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enfraquecer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instituições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 </w:t>
                              </w:r>
                              <w:hyperlink r:id="rId23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fica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mais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fácil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adotar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medidas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autoritárias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E, por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outro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alerta Luís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Nassif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 </w:t>
                              </w:r>
                              <w:hyperlink r:id="rId24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liquidação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do Estado abre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espaço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justamente para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ação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de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milícias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à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toa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crime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organizado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milícias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atuam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no tráfico de armas (beneficiadas pelos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novos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decretos)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coleta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lixo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onde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atual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gram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Ministro</w:t>
                              </w:r>
                              <w:proofErr w:type="gram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Meio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Ambiente Ricardo Salles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atua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como lobista.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Em tempo: vale prestar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atenção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aproximação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Polícias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Militares.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Ainda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11, </w:t>
                              </w:r>
                              <w:hyperlink r:id="rId25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os comandantes das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PMs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nos Estados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tiveram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uma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reunião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com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o presidente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direção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ICMBio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por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exemplo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"http://e.allin.ponto.jor.br/bendar/?atmca=7905407&amp;atmme=14864&amp;atmte=1&amp;atmso=ck&amp;utm_content=246565549&amp;atmem=cmFpbGRhaGVycmVyb0BnbWFpbC5jb20=&amp;"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já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está repleta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policiais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militares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recente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nomeação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tenente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alagoano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Wenderson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Viana Guilherme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vai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para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chefia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Área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Proteção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Ambiental da Costa dos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Corais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indicado pelo presidente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órgão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Homero di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Giorge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"http://e.allin.ponto.jor.br/bendar/?atmca=7905407&amp;atmme=14864&amp;atmte=1&amp;atmso=ck&amp;utm_content=246565541&amp;atmem=cmFpbGRhaGVycmVyb0BnbWFpbC5jb20=&amp;"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semana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depois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de Homero ter transferido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antigo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chefe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unidade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atuou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quando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órgão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multou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atual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presidente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Embratur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4.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Milícia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cidade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no campo.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No Rio,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milícias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têm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sua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cara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metade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governador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Witzel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Levantamento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UOL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mostra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que, das 881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mortes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registradas em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operações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policiais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primeiro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semestre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deste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ano no Rio,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"http://e.allin.ponto.jor.br/bendar/?atmca=7905407&amp;atmme=14864&amp;atmte=1&amp;atmso=ck&amp;utm_content=246565567&amp;atmem=cmFpbGRhaGVycmVyb0BnbWFpbC5jb20=&amp;"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nenhuma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aconteceu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em área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domínio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milícia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No período, 881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suspeitos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foram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mortos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operações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policiais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maior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número nos últimos 17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anos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quarta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(21),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Câmara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aprovou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projeto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flexibiliza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posse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armas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regiões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rurais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país. O texto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já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passou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pelo Senado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segue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para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sanção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presidencial. Antes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posse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era autorizada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áreas edificadas das propriedades.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projeto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autoriza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posse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arma para "toda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extensão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área particular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imóvel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edificada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". Para Lenin Pires,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professor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Departamento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Segurança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Pública da UFF, trata-se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resposta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dos segmentos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obscurantistas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problema objetivo: </w:t>
                              </w:r>
                              <w:hyperlink r:id="rId26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questão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dos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conflitos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agrários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 “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Isso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pode fomentar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estabelecimento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milícias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particulares para dar conta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dessa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proteção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extensiva, em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função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desses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conflitos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históricos”,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aponta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5. Rumo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ao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iceberg.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A Bolsa de Valores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registrou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pior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saldo dos últimos anos.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"http://e.allin.ponto.jor.br/bendar/?atmca=7905407&amp;atmme=14864&amp;atmte=1&amp;atmso=ck&amp;utm_content=246565529&amp;atmem=cmFpbGRhaGVycmVyb0BnbWFpbC5jb20=&amp;"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de R$ 19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bilhões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já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foram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retirados do país por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investidores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estrangeiros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maior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retirada desde 1996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maior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inclusive do que os saques em 2008, ano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crise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financeira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internacional.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crise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 aproximando, 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investidores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preferem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apostar em mercados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seguros do que os chamados emergentes, como o Brasil.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Além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disso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o país está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há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62 meses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conseguir retomar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crescimento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situação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indica </w:t>
                              </w:r>
                              <w:hyperlink r:id="rId27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colapso da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capacidade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de investimento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reforçada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pela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paralisia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Estado em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relação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obras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infra-estrutura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 </w:t>
                              </w:r>
                              <w:hyperlink r:id="rId28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o risco de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apagão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total de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vários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ministérios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Se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navio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está entrando em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tempestade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olhar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para 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timoneiros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gerar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pânico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Enquanto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esforça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piorar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relações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Europa, como falamos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acima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a medida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liberação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FGTS se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mostrou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inócua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 como previsto. Segundo o Itaú Unibanco, </w:t>
                              </w:r>
                              <w:hyperlink r:id="rId29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os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efeitos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da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crise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argentina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são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suficientes para cancelar o potencial dos saques do FGTS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gram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 o que faz Paulo Guedes?</w:t>
                              </w:r>
                              <w:proofErr w:type="gram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gram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Continua</w:t>
                              </w:r>
                              <w:proofErr w:type="gram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desmontando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navio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Nesta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quarta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(21), </w:t>
                              </w:r>
                              <w:hyperlink r:id="rId30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o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governo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anunciou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intenção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de privatizar nove empresas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estatais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: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Telebras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a ABF, 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Correios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o Porto de Santos,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Serpro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Dataprev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Emgea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Ceitec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Ceagesp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Antes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anúncio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oficial,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falava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-se até em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dezessete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empresas.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prática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governo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anunciou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mesmo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inclusão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das empresas no Programa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Parcerias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Investimentos,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produzirá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estudo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sobre cada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privatização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após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aprovação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conselho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gram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Ministros</w:t>
                              </w:r>
                              <w:proofErr w:type="gram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algumas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ainda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precisam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aprovadas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pelo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Congresso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como 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Correios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Mas Guedes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deixou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claro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ainda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agora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 mas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"http://e.allin.ponto.jor.br/bendar/?atmca=7905407&amp;atmme=14864&amp;atmte=1&amp;atmso=ck&amp;utm_content=246565530&amp;atmem=cmFpbGRhaGVycmVyb0BnbWFpbC5jb20=&amp;"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vai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chegar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a vez da Petrobras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ideia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governo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é “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diminuir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” a Petrobras antes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privatização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acabando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monopólio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no refino, no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setor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gás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presença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revenda e transporte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combustíveis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 </w:t>
                              </w:r>
                              <w:hyperlink r:id="rId31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relata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Vinicius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Torres Freire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na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Folha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6.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Vaza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Jato, Lava Jato e Lula.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revelações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das trocas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mensagens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entre procuradores da Lava Jato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perderam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força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última semana em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virtude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holocausto ambiental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Amazônia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razão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falta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relevância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informações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reveladas. Em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recentes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graves,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Intercept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o El País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mostraram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 </w:t>
                              </w:r>
                              <w:hyperlink r:id="rId32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a Lava Jato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aliviou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para os grandes bancos implicados pela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operação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optando por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acordos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financeiros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condenações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o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valeu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para 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empreiteiras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opção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levava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conta o chamado "risco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sistêmico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",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conceito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financeiro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supõe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possível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efeito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dominó para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economia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Neste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meio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tempo,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lépido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fagueiro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Deltan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Dallagnol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dava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palestras para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Febraban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para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instituições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financeiras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Palestras,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aliás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parecem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ser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calcanhar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Aquiles do menino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Deltan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Nesta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sexta (23),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Intercept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Folha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mostram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o procurador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mudou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os contratos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suas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palestras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deixou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lado 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doações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à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filantropia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"http://e.allin.ponto.jor.br/bendar/?atmca=7905407&amp;atmme=14864&amp;atmte=1&amp;atmso=ck&amp;utm_content=246565517&amp;atmem=cmFpbGRhaGVycmVyb0BnbWFpbC5jb20=&amp;"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amealhando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pelo menos R$ 580 mil desde 2017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surpreende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vindo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quem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sonhou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"http://e.allin.ponto.jor.br/bendar/?atmca=7905407&amp;atmme=14864&amp;atmte=1&amp;atmso=ck&amp;utm_content=246565539&amp;atmem=cmFpbGRhaGVycmVyb0BnbWFpbC5jb20=&amp;"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monumento exaltando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próprio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trabalho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Como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já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é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costume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a Lava Jato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voltou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esboçar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quarta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(21), a Lava Jato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desencadeou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sua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63ª fase, mirando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ex-executivos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Odebrecht.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acordo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divulgado,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operação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é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baseada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suspeitas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pagamentos destinados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PT por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meio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dos </w:t>
                              </w:r>
                              <w:proofErr w:type="spellStart"/>
                              <w:proofErr w:type="gram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ex-ministros</w:t>
                              </w:r>
                              <w:proofErr w:type="spellEnd"/>
                              <w:proofErr w:type="gram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Antonio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Palocci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Guido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Mantega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A PF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teria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encontrado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casa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ex-diretor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jurídico da Braskem, Mauricio Ferro,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genro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Emílio Odebrecht,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"http://e.allin.ponto.jor.br/bendar/?atmca=7905407&amp;atmme=14864&amp;atmte=1&amp;atmso=ck&amp;utm_content=246565562&amp;atmem=cmFpbGRhaGVycmVyb0BnbWFpbC5jb20=&amp;"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quatro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chaves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criptografia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podem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abrir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duas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pastas secretas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do sistema de computador de controle de pagamentos de propina pela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empreiteira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Além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disso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Justiça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Federal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condenou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Fernando Haddad à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prisão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hyperlink r:id="rId33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por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crime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de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falsidade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ideológica para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fins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eleitorais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disputa municipal de 2012.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sentença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500 páginas, </w:t>
                              </w:r>
                              <w:hyperlink r:id="rId34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das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quais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mais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ou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menos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um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terço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é dedicado 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citações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de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livros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e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elucubrações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sobre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linguística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A defesa de Haddad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respondeu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dizendo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 </w:t>
                              </w:r>
                              <w:hyperlink r:id="rId35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“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não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há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razoabilidade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ou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materialidade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”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decisão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que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juiz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absolveu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petista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lavagem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dinheiro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corrupção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“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condenou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-o por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crime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qual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acusado”.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Sobre Lula, 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maiores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expectativas da defesa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estão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análise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dois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recursos no STF: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questiona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imparcialidade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Moro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outro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pede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suspeição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Força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-Tarefa da Lava Jato.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acordo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reportagem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BBC Brasil, </w:t>
                              </w:r>
                              <w:hyperlink r:id="rId36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que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dá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um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bom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panorama da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situação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de todos os recursos em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andamento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a grande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questão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deve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definir a soltura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Lula é se os ministros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compõem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Segunda Turma (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Cármen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Lúcia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Gilmar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Mendes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Celso de Mello, Edson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Fachin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Ricardo Lewandowski),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responsável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analisar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os recursos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ex-presidente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vão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considerar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autênticas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válidas como prova a favor de Lula as conversas reveladas pelo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The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Intercept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segunda (19),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"http://e.allin.ponto.jor.br/bendar/?atmca=7905407&amp;atmme=14864&amp;atmte=1&amp;atmso=ck&amp;utm_content=246565548&amp;atmem=cmFpbGRhaGVycmVyb0BnbWFpbC5jb20=&amp;"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ativistas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lotaram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ato organizado pela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Associação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Brasileira de Juristas pela Democracia (ABJD)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USP, para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lançamento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campanha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“Moro Mente”.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6.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cadê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esquerda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?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tamanho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real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oposição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governo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Congresso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hyperlink r:id="rId37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é de apenas 76 deputados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Os cálculos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vice-líder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PSB,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Júlio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Delgado, considerando o placar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votação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MP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Liberdade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Econômica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Formalmente,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esquerda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teria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131 deputados.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prática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base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governista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desorientada,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esquerda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assiste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desde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início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ano Rodrigo Maia e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Centrão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ocuparem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espaço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oposição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exemplo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falta de norte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esquerda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votação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autorização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uso da Base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Alcântara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pelos Estados Unidos: </w:t>
                              </w:r>
                              <w:hyperlink r:id="rId38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PT e PSOL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votaram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contrários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projeto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,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porém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,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PCdoB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, PDT e PSB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aderiram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com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ressalvas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No GGN, Aldo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Fornazieri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"http://e.allin.ponto.jor.br/bendar/?atmca=7905407&amp;atmme=14864&amp;atmte=1&amp;atmso=ck&amp;utm_content=246565569&amp;atmem=cmFpbGRhaGVycmVyb0BnbWFpbC5jb20=&amp;"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analisa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incapacidade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esquerda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em responder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às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crises políticas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 “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opera sobre o colapso do sistema político-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partidário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institucional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emergiu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crise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governo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Dilma, do golpe-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impeachment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fracasso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governo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Temer. 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esquerdas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deveriam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estabelecer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contra-estratégia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recuperando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capacidade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articulação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organização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sociedade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civil”,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escreve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estudantes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única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oposição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ruas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além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defesa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educação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agora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protestam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também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contra 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nomeações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desrespeitam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vontade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comunidade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universitária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 como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"http://e.allin.ponto.jor.br/bendar/?atmca=7905407&amp;atmme=14864&amp;atmte=1&amp;atmso=ck&amp;utm_content=246565546&amp;atmem=cmFpbGRhaGVycmVyb0BnbWFpbC5jb20=&amp;"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Universidade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Federal do Ceará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e no </w:t>
                              </w:r>
                              <w:hyperlink r:id="rId39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CEFET do Rio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do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Janeiro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7. Ponto final: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nossas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dicas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>leitura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vídeos.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945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Sobre as queimadas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Amazônia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 </w:t>
                              </w:r>
                              <w:hyperlink r:id="rId40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o Opera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Mundi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lembra que 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ditadura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militar e a Volkswagen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foram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responsáveis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pela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maior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destruição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da floresta nos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anos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1970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A montadora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alemã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recebeu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benefícios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para instalar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fazenda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região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Araguaia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utilizou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trabalho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escravo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incêndios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para desmatar a área para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criação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gado.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945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Em longa entrevista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Sul 21,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professora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Liane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Bernardi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"http://e.allin.ponto.jor.br/bendar/?atmca=7905407&amp;atmme=14864&amp;atmte=1&amp;atmso=ck&amp;utm_content=246565531&amp;atmem=cmFpbGRhaGVycmVyb0BnbWFpbC5jb20=&amp;"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analisa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e 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projetos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movimentos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do capital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Educação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como o Todos pela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Educação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: “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Tudo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ver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essa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lógica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objetivo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acessar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recurso público como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filão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mercado. Mas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há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também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projeto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sociedade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trás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disso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busca definir o que é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feito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educação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país.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ideia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básica deles é ter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sujeito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que eles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chamam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competências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emocionais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chamo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sujeito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sob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controle.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945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site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The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Intercept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conta </w:t>
                              </w:r>
                              <w:hyperlink r:id="rId41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história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dos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três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paraguaios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extraditados por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Sérgio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Moro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Acusados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sequestro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três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ex-militantes</w:t>
                              </w:r>
                              <w:proofErr w:type="spellEnd"/>
                              <w:proofErr w:type="gram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Partido Patria Libre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têm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álibi: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dois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antes de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refém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ser libertada, 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supostos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sequestradores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estavam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justamente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sequestrados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pelo Estado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paraguaio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mantidos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cativeiro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torturados para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assumir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sequestro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associação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as FARC. A defesa dos militantes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paraguaios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dúvidas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que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condição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refúgio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cessada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pelas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relações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políticas entre os presidentes dos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dois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países.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945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Em podcast,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repórteres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Folha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experiência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cobertura da Lava Jato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"http://e.allin.ponto.jor.br/bendar/?atmca=7905407&amp;atmme=14864&amp;atmte=1&amp;atmso=ck&amp;utm_content=246565519&amp;atmem=cmFpbGRhaGVycmVyb0BnbWFpbC5jb20=&amp;"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relatam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reações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dos delegados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Polícia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Federal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às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interferências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anunciadas por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 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945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Neste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vídeo do Valor,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colunista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Maria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Cristina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Fernandes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"http://e.allin.ponto.jor.br/bendar/?atmca=7905407&amp;atmme=14864&amp;atmte=1&amp;atmso=ck&amp;utm_content=246565528&amp;atmem=cmFpbGRhaGVycmVyb0BnbWFpbC5jb20=&amp;"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analisa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a MP da “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Liberdade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econômica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”</w: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e alerta que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capacidade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investimento do Estado será duramente atingida pela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radicalização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liberal, desmontando as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ações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fiscalização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planejamento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econômica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A medida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seria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incompatível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constituição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reduzir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papel do Estado a mero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subsidiário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945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Em artigo no mesmo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 a economista Laura Carvalho </w:t>
                              </w:r>
                              <w:hyperlink r:id="rId42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desmonta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alguns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mitos sobre 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questão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da carga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tributária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brasileira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“O problema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é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tamanho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nossa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carga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tributária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dada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nossa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escolha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quando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Constituinte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Estado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-estar social, e sim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sua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distribuição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injusta, que acaba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praticamente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anulando 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efeito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redutor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desigualdades dos gastos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sociais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transferências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”,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escreve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economista, que alerta para a o risco de que a política de Paulo Guedes de corte de gastos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vai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aprofundar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essa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distorção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levar o Brasil à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barbárie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945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fenômeno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relativamente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novo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motivado pela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crise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econômica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mundial, e importante para entender o perfil dos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jovens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certa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forma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vão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reboque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escalada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autoritária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é o dos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incels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sigla em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inglês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para “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celibatários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involuntários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”. São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jovens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se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reúnem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fóruns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escondidos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internet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afloram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atentados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escolas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tendo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como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alvo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principalmente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meninas,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fenômeno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chegou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também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Brasil. A revista Vice </w:t>
                              </w:r>
                              <w:hyperlink r:id="rId43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faz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uma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ampla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reportagem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para entender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essa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subcultura nascida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na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internet</w:t>
                                </w:r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ajuda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pensar como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lidar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esse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público.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A47A2D" w:rsidRPr="00A47A2D" w:rsidRDefault="00A47A2D" w:rsidP="00A47A2D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945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jornalista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Laurentino Gomes 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begin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instrText xml:space="preserve"> HYPERLINK "http://e.allin.ponto.jor.br/bendar/?atmca=7905407&amp;atmme=14864&amp;atmte=1&amp;atmso=ck&amp;utm_content=246565559&amp;atmem=cmFpbGRhaGVycmVyb0BnbWFpbC5jb20=&amp;" \t "_blank" </w:instrText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separate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dá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entrevista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ao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UOL sobre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seu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novo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color w:val="1155CC"/>
                                  <w:sz w:val="21"/>
                                  <w:szCs w:val="21"/>
                                  <w:u w:val="single"/>
                                  <w:lang w:val="es-UY" w:eastAsia="es-UY"/>
                                </w:rPr>
                                <w:t>livro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fldChar w:fldCharType="end"/>
                              </w:r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, "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Escravidão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: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Primeiro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Leilão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Cativos em Portugal até a Morte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Zumbi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dos Palmares",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descreve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as atrocidades da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escravatura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num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período que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vai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1444, data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primeiro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registro sobre portugueses comercializando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escravos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africanos, até 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morte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líder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quilombola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Zumbi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dos Palmares, em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setembro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1695. "A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escravidão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seu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legado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estão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confinados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museus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livros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didáticos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história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(...). São, em vez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disso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parte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agenda cada vez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urgente </w:t>
                              </w:r>
                              <w:proofErr w:type="gram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</w:t>
                              </w:r>
                              <w:proofErr w:type="gram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decisiva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realidade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brasileira e mundial 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hoje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",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diz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autor.</w:t>
                              </w:r>
                            </w:p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A47A2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br/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vez,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obrigado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por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ler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Ponto. Se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você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gostou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conteúdo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pode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encaminhar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este e-mail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aos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amigos e sugerir </w:t>
                              </w:r>
                              <w:hyperlink r:id="rId44" w:tgtFrame="_blank" w:history="1"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a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inscrição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na</w:t>
                                </w:r>
                                <w:proofErr w:type="spellEnd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 xml:space="preserve"> </w:t>
                                </w:r>
                                <w:proofErr w:type="spellStart"/>
                                <w:r w:rsidRPr="00A47A2D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newsletter</w:t>
                                </w:r>
                                <w:proofErr w:type="spellEnd"/>
                              </w:hyperlink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Bom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>fim</w:t>
                              </w:r>
                              <w:proofErr w:type="spellEnd"/>
                              <w:r w:rsidRPr="00A47A2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semana.</w:t>
                              </w:r>
                            </w:p>
                          </w:tc>
                        </w:tr>
                      </w:tbl>
                      <w:p w:rsidR="00A47A2D" w:rsidRPr="00A47A2D" w:rsidRDefault="00A47A2D" w:rsidP="00A47A2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s-UY" w:eastAsia="es-UY"/>
                          </w:rPr>
                        </w:pPr>
                      </w:p>
                    </w:tc>
                  </w:tr>
                </w:tbl>
                <w:p w:rsidR="00A47A2D" w:rsidRPr="00A47A2D" w:rsidRDefault="00A47A2D" w:rsidP="00A47A2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</w:tc>
            </w:tr>
          </w:tbl>
          <w:p w:rsidR="00A47A2D" w:rsidRPr="00A47A2D" w:rsidRDefault="00A47A2D" w:rsidP="00A47A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s-UY" w:eastAsia="es-UY"/>
              </w:rPr>
            </w:pPr>
          </w:p>
        </w:tc>
      </w:tr>
      <w:tr w:rsidR="00A47A2D" w:rsidRPr="00A47A2D" w:rsidTr="00A47A2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7A2D" w:rsidRPr="00A47A2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7A2D" w:rsidRPr="00A47A2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47A2D" w:rsidRPr="00A47A2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47A2D" w:rsidRPr="00A47A2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CCCCCC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A47A2D" w:rsidRPr="00A47A2D" w:rsidRDefault="00A47A2D" w:rsidP="00A47A2D">
                                    <w:pPr>
                                      <w:spacing w:after="0" w:line="0" w:lineRule="atLeast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val="es-UY" w:eastAsia="es-UY"/>
                                      </w:rPr>
                                    </w:pPr>
                                    <w:r w:rsidRPr="00A47A2D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val="es-UY" w:eastAsia="es-UY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7A2D" w:rsidRPr="00A47A2D" w:rsidRDefault="00A47A2D" w:rsidP="00A47A2D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</w:p>
                          </w:tc>
                        </w:tr>
                      </w:tbl>
                      <w:p w:rsidR="00A47A2D" w:rsidRPr="00A47A2D" w:rsidRDefault="00A47A2D" w:rsidP="00A47A2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s-UY" w:eastAsia="es-UY"/>
                          </w:rPr>
                        </w:pPr>
                      </w:p>
                    </w:tc>
                  </w:tr>
                </w:tbl>
                <w:p w:rsidR="00A47A2D" w:rsidRPr="00A47A2D" w:rsidRDefault="00A47A2D" w:rsidP="00A47A2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</w:tc>
            </w:tr>
          </w:tbl>
          <w:p w:rsidR="00A47A2D" w:rsidRPr="00A47A2D" w:rsidRDefault="00A47A2D" w:rsidP="00A47A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s-UY" w:eastAsia="es-UY"/>
              </w:rPr>
            </w:pPr>
          </w:p>
        </w:tc>
      </w:tr>
      <w:tr w:rsidR="00A47A2D" w:rsidRPr="00A47A2D" w:rsidTr="00A47A2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7A2D" w:rsidRPr="00A47A2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A47A2D" w:rsidRPr="00A47A2D" w:rsidRDefault="00A47A2D" w:rsidP="00A47A2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 xml:space="preserve">Ponto é </w:t>
                  </w:r>
                  <w:proofErr w:type="spellStart"/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>uma</w:t>
                  </w:r>
                  <w:proofErr w:type="spellEnd"/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 xml:space="preserve"> </w:t>
                  </w:r>
                  <w:proofErr w:type="spellStart"/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>newsletter</w:t>
                  </w:r>
                  <w:proofErr w:type="spellEnd"/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 xml:space="preserve"> semanal editada por Daniel </w:t>
                  </w:r>
                  <w:proofErr w:type="spellStart"/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>Cassol</w:t>
                  </w:r>
                  <w:proofErr w:type="spellEnd"/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 xml:space="preserve"> e Miguel Enrique </w:t>
                  </w:r>
                  <w:proofErr w:type="spellStart"/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>Stédile</w:t>
                  </w:r>
                  <w:proofErr w:type="spellEnd"/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 xml:space="preserve"> para o  </w:t>
                  </w:r>
                  <w:hyperlink r:id="rId45" w:tgtFrame="_blank" w:history="1">
                    <w:r w:rsidRPr="00A47A2D">
                      <w:rPr>
                        <w:rFonts w:ascii="Tahoma" w:eastAsia="Times New Roman" w:hAnsi="Tahoma" w:cs="Tahoma"/>
                        <w:color w:val="1155CC"/>
                        <w:sz w:val="18"/>
                        <w:szCs w:val="18"/>
                        <w:u w:val="single"/>
                        <w:lang w:val="es-UY" w:eastAsia="es-UY"/>
                      </w:rPr>
                      <w:t>Brasil de Fato</w:t>
                    </w:r>
                  </w:hyperlink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>.</w:t>
                  </w:r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br/>
                  </w:r>
                  <w:proofErr w:type="spellStart"/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>Envie</w:t>
                  </w:r>
                  <w:proofErr w:type="spellEnd"/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 xml:space="preserve"> </w:t>
                  </w:r>
                  <w:proofErr w:type="spellStart"/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>seu</w:t>
                  </w:r>
                  <w:proofErr w:type="spellEnd"/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 xml:space="preserve"> </w:t>
                  </w:r>
                  <w:proofErr w:type="spellStart"/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>comentário</w:t>
                  </w:r>
                  <w:proofErr w:type="spellEnd"/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 xml:space="preserve">, crítica </w:t>
                  </w:r>
                  <w:proofErr w:type="spellStart"/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>ou</w:t>
                  </w:r>
                  <w:proofErr w:type="spellEnd"/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 xml:space="preserve"> </w:t>
                  </w:r>
                  <w:proofErr w:type="spellStart"/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>sugestão</w:t>
                  </w:r>
                  <w:proofErr w:type="spellEnd"/>
                  <w:r w:rsidRPr="00A47A2D">
                    <w:rPr>
                      <w:rFonts w:ascii="Tahoma" w:eastAsia="Times New Roman" w:hAnsi="Tahoma" w:cs="Tahoma"/>
                      <w:sz w:val="18"/>
                      <w:szCs w:val="18"/>
                      <w:lang w:val="es-UY" w:eastAsia="es-UY"/>
                    </w:rPr>
                    <w:t xml:space="preserve"> para o e-mail:  </w:t>
                  </w:r>
                  <w:hyperlink r:id="rId46" w:tgtFrame="_blank" w:history="1">
                    <w:r w:rsidRPr="00A47A2D">
                      <w:rPr>
                        <w:rFonts w:ascii="Tahoma" w:eastAsia="Times New Roman" w:hAnsi="Tahoma" w:cs="Tahoma"/>
                        <w:color w:val="1155CC"/>
                        <w:sz w:val="18"/>
                        <w:szCs w:val="18"/>
                        <w:u w:val="single"/>
                        <w:lang w:val="es-UY" w:eastAsia="es-UY"/>
                      </w:rPr>
                      <w:t>newsletter@ponto.jor.br</w:t>
                    </w:r>
                  </w:hyperlink>
                </w:p>
                <w:p w:rsidR="00A47A2D" w:rsidRPr="00A47A2D" w:rsidRDefault="00A47A2D" w:rsidP="00A47A2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  <w:r w:rsidRPr="00A47A2D">
                    <w:rPr>
                      <w:rFonts w:ascii="Tahoma" w:eastAsia="Times New Roman" w:hAnsi="Tahoma" w:cs="Tahoma"/>
                      <w:color w:val="696969"/>
                      <w:sz w:val="18"/>
                      <w:szCs w:val="18"/>
                      <w:lang w:val="es-UY" w:eastAsia="es-UY"/>
                    </w:rPr>
                    <w:t xml:space="preserve">Se </w:t>
                  </w:r>
                  <w:proofErr w:type="spellStart"/>
                  <w:r w:rsidRPr="00A47A2D">
                    <w:rPr>
                      <w:rFonts w:ascii="Tahoma" w:eastAsia="Times New Roman" w:hAnsi="Tahoma" w:cs="Tahoma"/>
                      <w:color w:val="696969"/>
                      <w:sz w:val="18"/>
                      <w:szCs w:val="18"/>
                      <w:lang w:val="es-UY" w:eastAsia="es-UY"/>
                    </w:rPr>
                    <w:t>você</w:t>
                  </w:r>
                  <w:proofErr w:type="spellEnd"/>
                  <w:r w:rsidRPr="00A47A2D">
                    <w:rPr>
                      <w:rFonts w:ascii="Tahoma" w:eastAsia="Times New Roman" w:hAnsi="Tahoma" w:cs="Tahoma"/>
                      <w:color w:val="696969"/>
                      <w:sz w:val="18"/>
                      <w:szCs w:val="18"/>
                      <w:lang w:val="es-UY" w:eastAsia="es-UY"/>
                    </w:rPr>
                    <w:t xml:space="preserve"> </w:t>
                  </w:r>
                  <w:proofErr w:type="spellStart"/>
                  <w:r w:rsidRPr="00A47A2D">
                    <w:rPr>
                      <w:rFonts w:ascii="Tahoma" w:eastAsia="Times New Roman" w:hAnsi="Tahoma" w:cs="Tahoma"/>
                      <w:color w:val="696969"/>
                      <w:sz w:val="18"/>
                      <w:szCs w:val="18"/>
                      <w:lang w:val="es-UY" w:eastAsia="es-UY"/>
                    </w:rPr>
                    <w:t>não</w:t>
                  </w:r>
                  <w:proofErr w:type="spellEnd"/>
                  <w:r w:rsidRPr="00A47A2D">
                    <w:rPr>
                      <w:rFonts w:ascii="Tahoma" w:eastAsia="Times New Roman" w:hAnsi="Tahoma" w:cs="Tahoma"/>
                      <w:color w:val="696969"/>
                      <w:sz w:val="18"/>
                      <w:szCs w:val="18"/>
                      <w:lang w:val="es-UY" w:eastAsia="es-UY"/>
                    </w:rPr>
                    <w:t xml:space="preserve"> </w:t>
                  </w:r>
                  <w:proofErr w:type="spellStart"/>
                  <w:r w:rsidRPr="00A47A2D">
                    <w:rPr>
                      <w:rFonts w:ascii="Tahoma" w:eastAsia="Times New Roman" w:hAnsi="Tahoma" w:cs="Tahoma"/>
                      <w:color w:val="696969"/>
                      <w:sz w:val="18"/>
                      <w:szCs w:val="18"/>
                      <w:lang w:val="es-UY" w:eastAsia="es-UY"/>
                    </w:rPr>
                    <w:t>deseja</w:t>
                  </w:r>
                  <w:proofErr w:type="spellEnd"/>
                  <w:r w:rsidRPr="00A47A2D">
                    <w:rPr>
                      <w:rFonts w:ascii="Tahoma" w:eastAsia="Times New Roman" w:hAnsi="Tahoma" w:cs="Tahoma"/>
                      <w:color w:val="696969"/>
                      <w:sz w:val="18"/>
                      <w:szCs w:val="18"/>
                      <w:lang w:val="es-UY" w:eastAsia="es-UY"/>
                    </w:rPr>
                    <w:t xml:space="preserve"> </w:t>
                  </w:r>
                  <w:proofErr w:type="spellStart"/>
                  <w:r w:rsidRPr="00A47A2D">
                    <w:rPr>
                      <w:rFonts w:ascii="Tahoma" w:eastAsia="Times New Roman" w:hAnsi="Tahoma" w:cs="Tahoma"/>
                      <w:color w:val="696969"/>
                      <w:sz w:val="18"/>
                      <w:szCs w:val="18"/>
                      <w:lang w:val="es-UY" w:eastAsia="es-UY"/>
                    </w:rPr>
                    <w:t>mais</w:t>
                  </w:r>
                  <w:proofErr w:type="spellEnd"/>
                  <w:r w:rsidRPr="00A47A2D">
                    <w:rPr>
                      <w:rFonts w:ascii="Tahoma" w:eastAsia="Times New Roman" w:hAnsi="Tahoma" w:cs="Tahoma"/>
                      <w:color w:val="696969"/>
                      <w:sz w:val="18"/>
                      <w:szCs w:val="18"/>
                      <w:lang w:val="es-UY" w:eastAsia="es-UY"/>
                    </w:rPr>
                    <w:t xml:space="preserve"> </w:t>
                  </w:r>
                  <w:proofErr w:type="spellStart"/>
                  <w:r w:rsidRPr="00A47A2D">
                    <w:rPr>
                      <w:rFonts w:ascii="Tahoma" w:eastAsia="Times New Roman" w:hAnsi="Tahoma" w:cs="Tahoma"/>
                      <w:color w:val="696969"/>
                      <w:sz w:val="18"/>
                      <w:szCs w:val="18"/>
                      <w:lang w:val="es-UY" w:eastAsia="es-UY"/>
                    </w:rPr>
                    <w:t>receber</w:t>
                  </w:r>
                  <w:proofErr w:type="spellEnd"/>
                  <w:r w:rsidRPr="00A47A2D">
                    <w:rPr>
                      <w:rFonts w:ascii="Tahoma" w:eastAsia="Times New Roman" w:hAnsi="Tahoma" w:cs="Tahoma"/>
                      <w:color w:val="696969"/>
                      <w:sz w:val="18"/>
                      <w:szCs w:val="18"/>
                      <w:lang w:val="es-UY" w:eastAsia="es-UY"/>
                    </w:rPr>
                    <w:t xml:space="preserve"> </w:t>
                  </w:r>
                  <w:proofErr w:type="spellStart"/>
                  <w:r w:rsidRPr="00A47A2D">
                    <w:rPr>
                      <w:rFonts w:ascii="Tahoma" w:eastAsia="Times New Roman" w:hAnsi="Tahoma" w:cs="Tahoma"/>
                      <w:color w:val="696969"/>
                      <w:sz w:val="18"/>
                      <w:szCs w:val="18"/>
                      <w:lang w:val="es-UY" w:eastAsia="es-UY"/>
                    </w:rPr>
                    <w:t>nossos</w:t>
                  </w:r>
                  <w:proofErr w:type="spellEnd"/>
                  <w:r w:rsidRPr="00A47A2D">
                    <w:rPr>
                      <w:rFonts w:ascii="Tahoma" w:eastAsia="Times New Roman" w:hAnsi="Tahoma" w:cs="Tahoma"/>
                      <w:color w:val="696969"/>
                      <w:sz w:val="18"/>
                      <w:szCs w:val="18"/>
                      <w:lang w:val="es-UY" w:eastAsia="es-UY"/>
                    </w:rPr>
                    <w:t xml:space="preserve"> e-mails, </w:t>
                  </w:r>
                  <w:hyperlink r:id="rId47" w:tgtFrame="_blank" w:history="1">
                    <w:r w:rsidRPr="00A47A2D">
                      <w:rPr>
                        <w:rFonts w:ascii="Tahoma" w:eastAsia="Times New Roman" w:hAnsi="Tahoma" w:cs="Tahoma"/>
                        <w:color w:val="696969"/>
                        <w:sz w:val="18"/>
                        <w:szCs w:val="18"/>
                        <w:u w:val="single"/>
                        <w:lang w:val="es-UY" w:eastAsia="es-UY"/>
                      </w:rPr>
                      <w:t xml:space="preserve">cancele a </w:t>
                    </w:r>
                    <w:proofErr w:type="spellStart"/>
                    <w:r w:rsidRPr="00A47A2D">
                      <w:rPr>
                        <w:rFonts w:ascii="Tahoma" w:eastAsia="Times New Roman" w:hAnsi="Tahoma" w:cs="Tahoma"/>
                        <w:color w:val="696969"/>
                        <w:sz w:val="18"/>
                        <w:szCs w:val="18"/>
                        <w:u w:val="single"/>
                        <w:lang w:val="es-UY" w:eastAsia="es-UY"/>
                      </w:rPr>
                      <w:t>sua</w:t>
                    </w:r>
                    <w:proofErr w:type="spellEnd"/>
                    <w:r w:rsidRPr="00A47A2D">
                      <w:rPr>
                        <w:rFonts w:ascii="Tahoma" w:eastAsia="Times New Roman" w:hAnsi="Tahoma" w:cs="Tahoma"/>
                        <w:color w:val="696969"/>
                        <w:sz w:val="18"/>
                        <w:szCs w:val="18"/>
                        <w:u w:val="single"/>
                        <w:lang w:val="es-UY" w:eastAsia="es-UY"/>
                      </w:rPr>
                      <w:t xml:space="preserve"> </w:t>
                    </w:r>
                    <w:proofErr w:type="spellStart"/>
                    <w:r w:rsidRPr="00A47A2D">
                      <w:rPr>
                        <w:rFonts w:ascii="Tahoma" w:eastAsia="Times New Roman" w:hAnsi="Tahoma" w:cs="Tahoma"/>
                        <w:color w:val="696969"/>
                        <w:sz w:val="18"/>
                        <w:szCs w:val="18"/>
                        <w:u w:val="single"/>
                        <w:lang w:val="es-UY" w:eastAsia="es-UY"/>
                      </w:rPr>
                      <w:t>inscrição</w:t>
                    </w:r>
                    <w:proofErr w:type="spellEnd"/>
                    <w:r w:rsidRPr="00A47A2D">
                      <w:rPr>
                        <w:rFonts w:ascii="Tahoma" w:eastAsia="Times New Roman" w:hAnsi="Tahoma" w:cs="Tahoma"/>
                        <w:color w:val="696969"/>
                        <w:sz w:val="18"/>
                        <w:szCs w:val="18"/>
                        <w:u w:val="single"/>
                        <w:lang w:val="es-UY" w:eastAsia="es-UY"/>
                      </w:rPr>
                      <w:t xml:space="preserve"> </w:t>
                    </w:r>
                    <w:proofErr w:type="spellStart"/>
                    <w:r w:rsidRPr="00A47A2D">
                      <w:rPr>
                        <w:rFonts w:ascii="Tahoma" w:eastAsia="Times New Roman" w:hAnsi="Tahoma" w:cs="Tahoma"/>
                        <w:color w:val="696969"/>
                        <w:sz w:val="18"/>
                        <w:szCs w:val="18"/>
                        <w:u w:val="single"/>
                        <w:lang w:val="es-UY" w:eastAsia="es-UY"/>
                      </w:rPr>
                      <w:t>aqui</w:t>
                    </w:r>
                    <w:proofErr w:type="spellEnd"/>
                    <w:r w:rsidRPr="00A47A2D">
                      <w:rPr>
                        <w:rFonts w:ascii="Tahoma" w:eastAsia="Times New Roman" w:hAnsi="Tahoma" w:cs="Tahoma"/>
                        <w:color w:val="696969"/>
                        <w:sz w:val="18"/>
                        <w:szCs w:val="18"/>
                        <w:u w:val="single"/>
                        <w:lang w:val="es-UY" w:eastAsia="es-UY"/>
                      </w:rPr>
                      <w:t>. </w:t>
                    </w:r>
                  </w:hyperlink>
                  <w:r w:rsidRPr="00A47A2D">
                    <w:rPr>
                      <w:rFonts w:ascii="Tahoma" w:eastAsia="Times New Roman" w:hAnsi="Tahoma" w:cs="Tahoma"/>
                      <w:color w:val="696969"/>
                      <w:sz w:val="18"/>
                      <w:szCs w:val="18"/>
                      <w:lang w:val="es-UY" w:eastAsia="es-UY"/>
                    </w:rPr>
                    <w:t> </w:t>
                  </w:r>
                </w:p>
              </w:tc>
            </w:tr>
          </w:tbl>
          <w:p w:rsidR="00A47A2D" w:rsidRPr="00A47A2D" w:rsidRDefault="00A47A2D" w:rsidP="00A47A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s-UY" w:eastAsia="es-UY"/>
              </w:rPr>
            </w:pPr>
          </w:p>
        </w:tc>
      </w:tr>
    </w:tbl>
    <w:p w:rsidR="00A47A2D" w:rsidRPr="00A47A2D" w:rsidRDefault="00A47A2D" w:rsidP="00A47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A7E"/>
    <w:multiLevelType w:val="multilevel"/>
    <w:tmpl w:val="9C36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C1FFC"/>
    <w:multiLevelType w:val="multilevel"/>
    <w:tmpl w:val="A0D4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1A2120"/>
    <w:multiLevelType w:val="multilevel"/>
    <w:tmpl w:val="ED5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D23ADE"/>
    <w:multiLevelType w:val="multilevel"/>
    <w:tmpl w:val="0730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4C49EB"/>
    <w:multiLevelType w:val="multilevel"/>
    <w:tmpl w:val="151E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850687"/>
    <w:multiLevelType w:val="multilevel"/>
    <w:tmpl w:val="13FC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520136"/>
    <w:multiLevelType w:val="multilevel"/>
    <w:tmpl w:val="5BC4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9A4BB7"/>
    <w:multiLevelType w:val="multilevel"/>
    <w:tmpl w:val="F71A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2D"/>
    <w:rsid w:val="002E2F5B"/>
    <w:rsid w:val="00A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DB78"/>
  <w15:chartTrackingRefBased/>
  <w15:docId w15:val="{80805294-D6E8-4802-AF7F-CB7F434D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.allin.ponto.jor.br/bendar/?atmca=7905407&amp;atmme=14864&amp;atmte=1&amp;atmso=ck&amp;utm_content=246565566&amp;atmem=cmFpbGRhaGVycmVyb0BnbWFpbC5jb20=&amp;" TargetMode="External"/><Relationship Id="rId18" Type="http://schemas.openxmlformats.org/officeDocument/2006/relationships/hyperlink" Target="http://e.allin.ponto.jor.br/bendar/?atmca=7905407&amp;atmme=14864&amp;atmte=1&amp;atmso=ck&amp;utm_content=246565533&amp;atmem=cmFpbGRhaGVycmVyb0BnbWFpbC5jb20=&amp;" TargetMode="External"/><Relationship Id="rId26" Type="http://schemas.openxmlformats.org/officeDocument/2006/relationships/hyperlink" Target="http://e.allin.ponto.jor.br/bendar/?atmca=7905407&amp;atmme=14864&amp;atmte=1&amp;atmso=ck&amp;utm_content=246565543&amp;atmem=cmFpbGRhaGVycmVyb0BnbWFpbC5jb20=&amp;" TargetMode="External"/><Relationship Id="rId39" Type="http://schemas.openxmlformats.org/officeDocument/2006/relationships/hyperlink" Target="http://e.allin.ponto.jor.br/bendar/?atmca=7905407&amp;atmme=14864&amp;atmte=1&amp;atmso=ck&amp;utm_content=246565573&amp;atmem=cmFpbGRhaGVycmVyb0BnbWFpbC5jb20=&amp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allin.ponto.jor.br/bendar/?atmca=7905407&amp;atmme=14864&amp;atmte=1&amp;atmso=ck&amp;utm_content=246565518&amp;atmem=cmFpbGRhaGVycmVyb0BnbWFpbC5jb20=&amp;" TargetMode="External"/><Relationship Id="rId34" Type="http://schemas.openxmlformats.org/officeDocument/2006/relationships/hyperlink" Target="http://e.allin.ponto.jor.br/bendar/?atmca=7905407&amp;atmme=14864&amp;atmte=1&amp;atmso=ck&amp;utm_content=246565522&amp;atmem=cmFpbGRhaGVycmVyb0BnbWFpbC5jb20=&amp;" TargetMode="External"/><Relationship Id="rId42" Type="http://schemas.openxmlformats.org/officeDocument/2006/relationships/hyperlink" Target="http://e.allin.ponto.jor.br/bendar/?atmca=7905407&amp;atmme=14864&amp;atmte=1&amp;atmso=ck&amp;utm_content=246565527&amp;atmem=cmFpbGRhaGVycmVyb0BnbWFpbC5jb20=&amp;" TargetMode="External"/><Relationship Id="rId47" Type="http://schemas.openxmlformats.org/officeDocument/2006/relationships/hyperlink" Target="http://e.allin.ponto.jor.br/saindo.php?cpid=1&amp;id_user=12472&amp;idem=14864&amp;id_campanha=7905407&amp;li=23&amp;pp=r&amp;raco=e6e5814fea605ad5756092879cf47ba3&amp;roca=cmFpbGRhaGVycmVyb0BnbWFpbC5jb20=" TargetMode="External"/><Relationship Id="rId7" Type="http://schemas.openxmlformats.org/officeDocument/2006/relationships/hyperlink" Target="http://e.allin.ponto.jor.br/bendar/?atmca=7905407&amp;atmme=14864&amp;atmte=1&amp;atmso=ck&amp;utm_content=246565523&amp;atmem=cmFpbGRhaGVycmVyb0BnbWFpbC5jb20=&amp;" TargetMode="External"/><Relationship Id="rId12" Type="http://schemas.openxmlformats.org/officeDocument/2006/relationships/hyperlink" Target="http://e.allin.ponto.jor.br/bendar/?atmca=7905407&amp;atmme=14864&amp;atmte=1&amp;atmso=ck&amp;utm_content=246565537&amp;atmem=cmFpbGRhaGVycmVyb0BnbWFpbC5jb20=&amp;" TargetMode="External"/><Relationship Id="rId17" Type="http://schemas.openxmlformats.org/officeDocument/2006/relationships/hyperlink" Target="http://e.allin.ponto.jor.br/bendar/?atmca=7905407&amp;atmme=14864&amp;atmte=1&amp;atmso=ck&amp;utm_content=246565516&amp;atmem=cmFpbGRhaGVycmVyb0BnbWFpbC5jb20=&amp;" TargetMode="External"/><Relationship Id="rId25" Type="http://schemas.openxmlformats.org/officeDocument/2006/relationships/hyperlink" Target="http://e.allin.ponto.jor.br/bendar/?atmca=7905407&amp;atmme=14864&amp;atmte=1&amp;atmso=ck&amp;utm_content=246565536&amp;atmem=cmFpbGRhaGVycmVyb0BnbWFpbC5jb20=&amp;" TargetMode="External"/><Relationship Id="rId33" Type="http://schemas.openxmlformats.org/officeDocument/2006/relationships/hyperlink" Target="http://e.allin.ponto.jor.br/bendar/?atmca=7905407&amp;atmme=14864&amp;atmte=1&amp;atmso=ck&amp;utm_content=246565564&amp;atmem=cmFpbGRhaGVycmVyb0BnbWFpbC5jb20=&amp;" TargetMode="External"/><Relationship Id="rId38" Type="http://schemas.openxmlformats.org/officeDocument/2006/relationships/hyperlink" Target="http://e.allin.ponto.jor.br/bendar/?atmca=7905407&amp;atmme=14864&amp;atmte=1&amp;atmso=ck&amp;utm_content=246565545&amp;atmem=cmFpbGRhaGVycmVyb0BnbWFpbC5jb20=&amp;" TargetMode="External"/><Relationship Id="rId46" Type="http://schemas.openxmlformats.org/officeDocument/2006/relationships/hyperlink" Target="mailto:newsletter@ponto.jor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e.allin.ponto.jor.br/bendar/?atmca=7905407&amp;atmme=14864&amp;atmte=1&amp;atmso=ck&amp;utm_content=246565574&amp;atmem=cmFpbGRhaGVycmVyb0BnbWFpbC5jb20=&amp;" TargetMode="External"/><Relationship Id="rId20" Type="http://schemas.openxmlformats.org/officeDocument/2006/relationships/hyperlink" Target="http://e.allin.ponto.jor.br/bendar/?atmca=7905407&amp;atmme=14864&amp;atmte=1&amp;atmso=ck&amp;utm_content=246565575&amp;atmem=cmFpbGRhaGVycmVyb0BnbWFpbC5jb20=&amp;" TargetMode="External"/><Relationship Id="rId29" Type="http://schemas.openxmlformats.org/officeDocument/2006/relationships/hyperlink" Target="http://e.allin.ponto.jor.br/bendar/?atmca=7905407&amp;atmme=14864&amp;atmte=1&amp;atmso=ck&amp;utm_content=246565554&amp;atmem=cmFpbGRhaGVycmVyb0BnbWFpbC5jb20=&amp;" TargetMode="External"/><Relationship Id="rId41" Type="http://schemas.openxmlformats.org/officeDocument/2006/relationships/hyperlink" Target="http://e.allin.ponto.jor.br/bendar/?atmca=7905407&amp;atmme=14864&amp;atmte=1&amp;atmso=ck&amp;utm_content=246565556&amp;atmem=cmFpbGRhaGVycmVyb0BnbWFpbC5jb20=&amp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allin.ponto.jor.br/bendar/?atmca=7905407&amp;atmme=14864&amp;atmte=1&amp;atmso=ck&amp;utm_content=246565572&amp;atmem=cmFpbGRhaGVycmVyb0BnbWFpbC5jb20=&amp;" TargetMode="External"/><Relationship Id="rId11" Type="http://schemas.openxmlformats.org/officeDocument/2006/relationships/hyperlink" Target="http://e.allin.ponto.jor.br/bendar/?atmca=7905407&amp;atmme=14864&amp;atmte=1&amp;atmso=ck&amp;utm_content=246565555&amp;atmem=cmFpbGRhaGVycmVyb0BnbWFpbC5jb20=&amp;" TargetMode="External"/><Relationship Id="rId24" Type="http://schemas.openxmlformats.org/officeDocument/2006/relationships/hyperlink" Target="http://e.allin.ponto.jor.br/bendar/?atmca=7905407&amp;atmme=14864&amp;atmte=1&amp;atmso=ck&amp;utm_content=246565568&amp;atmem=cmFpbGRhaGVycmVyb0BnbWFpbC5jb20=&amp;" TargetMode="External"/><Relationship Id="rId32" Type="http://schemas.openxmlformats.org/officeDocument/2006/relationships/hyperlink" Target="http://e.allin.ponto.jor.br/bendar/?atmca=7905407&amp;atmme=14864&amp;atmte=1&amp;atmso=ck&amp;utm_content=246565582&amp;atmem=cmFpbGRhaGVycmVyb0BnbWFpbC5jb20=&amp;" TargetMode="External"/><Relationship Id="rId37" Type="http://schemas.openxmlformats.org/officeDocument/2006/relationships/hyperlink" Target="http://e.allin.ponto.jor.br/bendar/?atmca=7905407&amp;atmme=14864&amp;atmte=1&amp;atmso=ck&amp;utm_content=246565571&amp;atmem=cmFpbGRhaGVycmVyb0BnbWFpbC5jb20=&amp;" TargetMode="External"/><Relationship Id="rId40" Type="http://schemas.openxmlformats.org/officeDocument/2006/relationships/hyperlink" Target="http://e.allin.ponto.jor.br/bendar/?atmca=7905407&amp;atmme=14864&amp;atmte=1&amp;atmso=ck&amp;utm_content=246565560&amp;atmem=cmFpbGRhaGVycmVyb0BnbWFpbC5jb20=&amp;" TargetMode="External"/><Relationship Id="rId45" Type="http://schemas.openxmlformats.org/officeDocument/2006/relationships/hyperlink" Target="http://e.allin.ponto.jor.br/bendar/?atmca=7905407&amp;atmme=14864&amp;atmte=1&amp;atmso=ck&amp;utm_content=246565550&amp;atmem=cmFpbGRhaGVycmVyb0BnbWFpbC5jb20=&amp;" TargetMode="External"/><Relationship Id="rId5" Type="http://schemas.openxmlformats.org/officeDocument/2006/relationships/hyperlink" Target="http://e.allin.ponto.jor.br/bendar/?atmca=7905407&amp;atmme=14864&amp;atmte=1&amp;atmso=ck&amp;utm_content=246565581&amp;atmem=cmFpbGRhaGVycmVyb0BnbWFpbC5jb20=&amp;" TargetMode="External"/><Relationship Id="rId15" Type="http://schemas.openxmlformats.org/officeDocument/2006/relationships/hyperlink" Target="http://e.allin.ponto.jor.br/bendar/?atmca=7905407&amp;atmme=14864&amp;atmte=1&amp;atmso=ck&amp;utm_content=246565524&amp;atmem=cmFpbGRhaGVycmVyb0BnbWFpbC5jb20=&amp;" TargetMode="External"/><Relationship Id="rId23" Type="http://schemas.openxmlformats.org/officeDocument/2006/relationships/hyperlink" Target="http://e.allin.ponto.jor.br/bendar/?atmca=7905407&amp;atmme=14864&amp;atmte=1&amp;atmso=ck&amp;utm_content=246565552&amp;atmem=cmFpbGRhaGVycmVyb0BnbWFpbC5jb20=&amp;" TargetMode="External"/><Relationship Id="rId28" Type="http://schemas.openxmlformats.org/officeDocument/2006/relationships/hyperlink" Target="http://e.allin.ponto.jor.br/bendar/?atmca=7905407&amp;atmme=14864&amp;atmte=1&amp;atmso=ck&amp;utm_content=246565579&amp;atmem=cmFpbGRhaGVycmVyb0BnbWFpbC5jb20=&amp;" TargetMode="External"/><Relationship Id="rId36" Type="http://schemas.openxmlformats.org/officeDocument/2006/relationships/hyperlink" Target="http://e.allin.ponto.jor.br/bendar/?atmca=7905407&amp;atmme=14864&amp;atmte=1&amp;atmso=ck&amp;utm_content=246565553&amp;atmem=cmFpbGRhaGVycmVyb0BnbWFpbC5jb20=&amp;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.allin.ponto.jor.br/bendar/?atmca=7905407&amp;atmme=14864&amp;atmte=1&amp;atmso=ck&amp;utm_content=246565580&amp;atmem=cmFpbGRhaGVycmVyb0BnbWFpbC5jb20=&amp;" TargetMode="External"/><Relationship Id="rId19" Type="http://schemas.openxmlformats.org/officeDocument/2006/relationships/hyperlink" Target="http://e.allin.ponto.jor.br/bendar/?atmca=7905407&amp;atmme=14864&amp;atmte=1&amp;atmso=ck&amp;utm_content=246565565&amp;atmem=cmFpbGRhaGVycmVyb0BnbWFpbC5jb20=&amp;" TargetMode="External"/><Relationship Id="rId31" Type="http://schemas.openxmlformats.org/officeDocument/2006/relationships/hyperlink" Target="http://e.allin.ponto.jor.br/bendar/?atmca=7905407&amp;atmme=14864&amp;atmte=1&amp;atmso=ck&amp;utm_content=246565521&amp;atmem=cmFpbGRhaGVycmVyb0BnbWFpbC5jb20=&amp;" TargetMode="External"/><Relationship Id="rId44" Type="http://schemas.openxmlformats.org/officeDocument/2006/relationships/hyperlink" Target="http://e.allin.ponto.jor.br/bendar/?atmca=7905407&amp;atmme=14864&amp;atmte=1&amp;atmso=ck&amp;utm_content=246565584&amp;atmem=cmFpbGRhaGVycmVyb0BnbWFpbC5jb20=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allin.ponto.jor.br/bendar/?atmca=7905407&amp;atmme=14864&amp;atmte=1&amp;atmso=ck&amp;utm_content=246565538&amp;atmem=cmFpbGRhaGVycmVyb0BnbWFpbC5jb20=&amp;" TargetMode="External"/><Relationship Id="rId14" Type="http://schemas.openxmlformats.org/officeDocument/2006/relationships/hyperlink" Target="http://e.allin.ponto.jor.br/bendar/?atmca=7905407&amp;atmme=14864&amp;atmte=1&amp;atmso=ck&amp;utm_content=246565578&amp;atmem=cmFpbGRhaGVycmVyb0BnbWFpbC5jb20=&amp;" TargetMode="External"/><Relationship Id="rId22" Type="http://schemas.openxmlformats.org/officeDocument/2006/relationships/hyperlink" Target="http://e.allin.ponto.jor.br/bendar/?atmca=7905407&amp;atmme=14864&amp;atmte=1&amp;atmso=ck&amp;utm_content=246565585&amp;atmem=cmFpbGRhaGVycmVyb0BnbWFpbC5jb20=&amp;" TargetMode="External"/><Relationship Id="rId27" Type="http://schemas.openxmlformats.org/officeDocument/2006/relationships/hyperlink" Target="http://e.allin.ponto.jor.br/bendar/?atmca=7905407&amp;atmme=14864&amp;atmte=1&amp;atmso=ck&amp;utm_content=246565520&amp;atmem=cmFpbGRhaGVycmVyb0BnbWFpbC5jb20=&amp;" TargetMode="External"/><Relationship Id="rId30" Type="http://schemas.openxmlformats.org/officeDocument/2006/relationships/hyperlink" Target="http://e.allin.ponto.jor.br/bendar/?atmca=7905407&amp;atmme=14864&amp;atmte=1&amp;atmso=ck&amp;utm_content=246565544&amp;atmem=cmFpbGRhaGVycmVyb0BnbWFpbC5jb20=&amp;" TargetMode="External"/><Relationship Id="rId35" Type="http://schemas.openxmlformats.org/officeDocument/2006/relationships/hyperlink" Target="http://e.allin.ponto.jor.br/bendar/?atmca=7905407&amp;atmme=14864&amp;atmte=1&amp;atmso=ck&amp;utm_content=246565535&amp;atmem=cmFpbGRhaGVycmVyb0BnbWFpbC5jb20=&amp;" TargetMode="External"/><Relationship Id="rId43" Type="http://schemas.openxmlformats.org/officeDocument/2006/relationships/hyperlink" Target="http://e.allin.ponto.jor.br/bendar/?atmca=7905407&amp;atmme=14864&amp;atmte=1&amp;atmso=ck&amp;utm_content=246565526&amp;atmem=cmFpbGRhaGVycmVyb0BnbWFpbC5jb20=&amp;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e.allin.ponto.jor.br/bendar/?atmca=7905407&amp;atmme=14864&amp;atmte=1&amp;atmso=ck&amp;utm_content=246565586&amp;atmem=cmFpbGRhaGVycmVyb0BnbWFpbC5jb20=&amp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5191</Words>
  <Characters>28551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2019-08-26T09:48:00Z</dcterms:created>
  <dcterms:modified xsi:type="dcterms:W3CDTF">2019-08-26T09:50:00Z</dcterms:modified>
</cp:coreProperties>
</file>