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B2A" w:rsidRPr="009C1B2A" w:rsidRDefault="009C1B2A" w:rsidP="009C1B2A">
      <w:pPr>
        <w:spacing w:before="300" w:after="150" w:line="240" w:lineRule="auto"/>
        <w:jc w:val="center"/>
        <w:outlineLvl w:val="0"/>
        <w:rPr>
          <w:rFonts w:ascii="inherit" w:eastAsia="Times New Roman" w:hAnsi="inherit" w:cs="Arial"/>
          <w:color w:val="333333"/>
          <w:kern w:val="36"/>
          <w:sz w:val="61"/>
          <w:szCs w:val="61"/>
          <w:lang w:val="es-UY" w:eastAsia="es-UY"/>
        </w:rPr>
      </w:pPr>
      <w:r w:rsidRPr="009C1B2A">
        <w:rPr>
          <w:rFonts w:ascii="inherit" w:eastAsia="Times New Roman" w:hAnsi="inherit" w:cs="Arial"/>
          <w:color w:val="333333"/>
          <w:kern w:val="36"/>
          <w:sz w:val="61"/>
          <w:szCs w:val="61"/>
          <w:lang w:val="es-UY" w:eastAsia="es-UY"/>
        </w:rPr>
        <w:t>Vayan Ustedes...</w:t>
      </w:r>
    </w:p>
    <w:p w:rsidR="009C1B2A" w:rsidRPr="009C1B2A" w:rsidRDefault="009C1B2A" w:rsidP="009C1B2A">
      <w:pPr>
        <w:spacing w:before="300" w:after="300" w:line="240" w:lineRule="auto"/>
        <w:jc w:val="center"/>
        <w:rPr>
          <w:rFonts w:ascii="Arial" w:eastAsia="Times New Roman" w:hAnsi="Arial" w:cs="Arial"/>
          <w:color w:val="333333"/>
          <w:sz w:val="25"/>
          <w:szCs w:val="25"/>
          <w:lang w:val="es-UY" w:eastAsia="es-UY"/>
        </w:rPr>
      </w:pPr>
      <w:r w:rsidRPr="009C1B2A">
        <w:rPr>
          <w:rFonts w:ascii="Arial" w:eastAsia="Times New Roman" w:hAnsi="Arial" w:cs="Arial"/>
          <w:color w:val="333333"/>
          <w:sz w:val="25"/>
          <w:szCs w:val="25"/>
          <w:lang w:val="es-UY" w:eastAsia="es-UY"/>
        </w:rPr>
        <w:pict>
          <v:rect id="_x0000_i1025" style="width:0;height:0" o:hralign="center" o:hrstd="t" o:hr="t" fillcolor="#a0a0a0" stroked="f"/>
        </w:pict>
      </w:r>
    </w:p>
    <w:p w:rsidR="009C1B2A" w:rsidRPr="009C1B2A" w:rsidRDefault="009C1B2A" w:rsidP="009C1B2A">
      <w:pPr>
        <w:spacing w:before="300" w:after="300" w:line="240" w:lineRule="auto"/>
        <w:jc w:val="center"/>
        <w:rPr>
          <w:rFonts w:ascii="Arial" w:eastAsia="Times New Roman" w:hAnsi="Arial" w:cs="Arial"/>
          <w:color w:val="333333"/>
          <w:sz w:val="25"/>
          <w:szCs w:val="25"/>
          <w:lang w:val="es-UY" w:eastAsia="es-UY"/>
        </w:rPr>
      </w:pPr>
      <w:r w:rsidRPr="009C1B2A">
        <w:rPr>
          <w:rFonts w:ascii="Arial" w:eastAsia="Times New Roman" w:hAnsi="Arial" w:cs="Arial"/>
          <w:noProof/>
          <w:color w:val="333333"/>
          <w:sz w:val="25"/>
          <w:szCs w:val="25"/>
          <w:lang w:val="es-UY" w:eastAsia="es-UY"/>
        </w:rPr>
        <w:drawing>
          <wp:inline distT="0" distB="0" distL="0" distR="0" wp14:anchorId="2AF857A2" wp14:editId="2D4CA566">
            <wp:extent cx="2495550" cy="1835150"/>
            <wp:effectExtent l="0" t="0" r="0" b="0"/>
            <wp:docPr id="2" name="Imagen 2" descr="https://cdn-cms.f-static.com/uploads/1791524/1600_5d115072743c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ms.f-static.com/uploads/1791524/1600_5d115072743c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1835150"/>
                    </a:xfrm>
                    <a:prstGeom prst="rect">
                      <a:avLst/>
                    </a:prstGeom>
                    <a:noFill/>
                    <a:ln>
                      <a:noFill/>
                    </a:ln>
                  </pic:spPr>
                </pic:pic>
              </a:graphicData>
            </a:graphic>
          </wp:inline>
        </w:drawing>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Vayan ustedes…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 xml:space="preserve">¿Se fijó? Si usted ha escuchado o leído el relato de la “multiplicación” de los panes y peces del texto de </w:t>
      </w:r>
      <w:proofErr w:type="spellStart"/>
      <w:r w:rsidRPr="009C1B2A">
        <w:rPr>
          <w:rFonts w:ascii="Arial" w:eastAsia="Times New Roman" w:hAnsi="Arial" w:cs="Arial"/>
          <w:color w:val="000000"/>
          <w:sz w:val="25"/>
          <w:szCs w:val="25"/>
          <w:lang w:val="es-UY" w:eastAsia="es-UY"/>
        </w:rPr>
        <w:t>Lc</w:t>
      </w:r>
      <w:proofErr w:type="spellEnd"/>
      <w:r w:rsidRPr="009C1B2A">
        <w:rPr>
          <w:rFonts w:ascii="Arial" w:eastAsia="Times New Roman" w:hAnsi="Arial" w:cs="Arial"/>
          <w:color w:val="000000"/>
          <w:sz w:val="25"/>
          <w:szCs w:val="25"/>
          <w:lang w:val="es-UY" w:eastAsia="es-UY"/>
        </w:rPr>
        <w:t xml:space="preserve"> 9, 10.17 (que posee paralelos en los cuatro evangelios presentes en el canon bíblico), llama la atención la frase que Jesús usa como respuesta ante la problemática que en ese momento se presentaba. Cientos de seguidores del maestro estaban varados, sin posibilidad alguna de comprar alimentos. Era una imagen preocupante: el seguimiento no podía prescindir de lo concreto, de lo humano que es alimentarse y recuperar fuerzas para el camino.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La expresión que nos intriga de Jesús fue la siguiente: «</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xml:space="preserve">» (v 13). Y después, los cinco mil hombres, más la mujeres y los </w:t>
      </w:r>
      <w:proofErr w:type="gramStart"/>
      <w:r w:rsidRPr="009C1B2A">
        <w:rPr>
          <w:rFonts w:ascii="Arial" w:eastAsia="Times New Roman" w:hAnsi="Arial" w:cs="Arial"/>
          <w:color w:val="000000"/>
          <w:sz w:val="25"/>
          <w:szCs w:val="25"/>
          <w:lang w:val="es-UY" w:eastAsia="es-UY"/>
        </w:rPr>
        <w:t>niños[</w:t>
      </w:r>
      <w:proofErr w:type="gramEnd"/>
      <w:r w:rsidRPr="009C1B2A">
        <w:rPr>
          <w:rFonts w:ascii="Arial" w:eastAsia="Times New Roman" w:hAnsi="Arial" w:cs="Arial"/>
          <w:color w:val="000000"/>
          <w:sz w:val="25"/>
          <w:szCs w:val="25"/>
          <w:lang w:val="es-UY" w:eastAsia="es-UY"/>
        </w:rPr>
        <w:t>1], pudieron degustar de los panes y peces que los discípulos repartían.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¿Qué es eso de «</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Podemos llevar esto a varios planos que deben ser entendidos fuera de una separación entre lo espiritual y lo material, pues deben entenderse como una unidad profunda, que nunca debe estar desintegrada bajo premisas más espiritualistas o materialistas. Es el ser humano completo, no una parte de él lo que Jesús Cristo salva.</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Recalco la necesidad de esta frase, «</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Con atención a estas palabras, podemos ver desde actuales perspectivas que ayuden a las comunidades y a la humanidad en general, bajo profundas premisas nacidas del corazón del Evangelio.</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xml:space="preserve">» no solo es una frase de invitación, es una invitación que exige acción. Quienes formamos parte de la comunidad somos responsables el uno del otro. Cuando alguien está en una situación difícil, </w:t>
      </w:r>
      <w:r w:rsidRPr="009C1B2A">
        <w:rPr>
          <w:rFonts w:ascii="Arial" w:eastAsia="Times New Roman" w:hAnsi="Arial" w:cs="Arial"/>
          <w:color w:val="000000"/>
          <w:sz w:val="25"/>
          <w:szCs w:val="25"/>
          <w:lang w:val="es-UY" w:eastAsia="es-UY"/>
        </w:rPr>
        <w:lastRenderedPageBreak/>
        <w:t>cuando los problemas arrecian y llega ese clamor, cuando ese llamado del hermano o hermana que se hace partícipe del mismo dolor del Siervo Sufriente de Isaías se hace inconsolable, nuestra tarea es acudir a ese llamado, a dar de comer, a sostener y apoyar aún con nuestras limitaciones aparentes. Es una llamada que el mismo Jesús nos hace, pues es Él mismo el que llama (cf. Mt 25), es la auténtica comunión que se vive en la luz de la persona de Jesús.</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xml:space="preserve">» es asumir una actitud «samaritana», que trasciende más allá de una mera ética y se transforma en medida de lo auténticamente cristiano, de una praxis auténticamente cristiana, de una teología verdaderamente cristiana. Es un dejarse interpelar por el otro, ese otro que necesita ser salvado y que, a la vez, salva a uno mismo, nos salva a </w:t>
      </w:r>
      <w:proofErr w:type="gramStart"/>
      <w:r w:rsidRPr="009C1B2A">
        <w:rPr>
          <w:rFonts w:ascii="Arial" w:eastAsia="Times New Roman" w:hAnsi="Arial" w:cs="Arial"/>
          <w:color w:val="000000"/>
          <w:sz w:val="25"/>
          <w:szCs w:val="25"/>
          <w:lang w:val="es-UY" w:eastAsia="es-UY"/>
        </w:rPr>
        <w:t>nosotros[</w:t>
      </w:r>
      <w:proofErr w:type="gramEnd"/>
      <w:r w:rsidRPr="009C1B2A">
        <w:rPr>
          <w:rFonts w:ascii="Arial" w:eastAsia="Times New Roman" w:hAnsi="Arial" w:cs="Arial"/>
          <w:color w:val="000000"/>
          <w:sz w:val="25"/>
          <w:szCs w:val="25"/>
          <w:lang w:val="es-UY" w:eastAsia="es-UY"/>
        </w:rPr>
        <w:t>2].</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xml:space="preserve">» es un salto escatológico, que es esperanza de un futuro mejor, pero que desde ya se hace una tarea de amor en el presente, y que deviene de la </w:t>
      </w:r>
      <w:proofErr w:type="spellStart"/>
      <w:r w:rsidRPr="009C1B2A">
        <w:rPr>
          <w:rFonts w:ascii="Arial" w:eastAsia="Times New Roman" w:hAnsi="Arial" w:cs="Arial"/>
          <w:color w:val="000000"/>
          <w:sz w:val="25"/>
          <w:szCs w:val="25"/>
          <w:lang w:val="es-UY" w:eastAsia="es-UY"/>
        </w:rPr>
        <w:t>mesianidad</w:t>
      </w:r>
      <w:proofErr w:type="spellEnd"/>
      <w:r w:rsidRPr="009C1B2A">
        <w:rPr>
          <w:rFonts w:ascii="Arial" w:eastAsia="Times New Roman" w:hAnsi="Arial" w:cs="Arial"/>
          <w:color w:val="000000"/>
          <w:sz w:val="25"/>
          <w:szCs w:val="25"/>
          <w:lang w:val="es-UY" w:eastAsia="es-UY"/>
        </w:rPr>
        <w:t xml:space="preserve"> de Jesús. En palabras del teólogo Bartomeu </w:t>
      </w:r>
      <w:proofErr w:type="spellStart"/>
      <w:r w:rsidRPr="009C1B2A">
        <w:rPr>
          <w:rFonts w:ascii="Arial" w:eastAsia="Times New Roman" w:hAnsi="Arial" w:cs="Arial"/>
          <w:color w:val="000000"/>
          <w:sz w:val="25"/>
          <w:szCs w:val="25"/>
          <w:lang w:val="es-UY" w:eastAsia="es-UY"/>
        </w:rPr>
        <w:t>Bennàssar</w:t>
      </w:r>
      <w:proofErr w:type="spellEnd"/>
      <w:r w:rsidRPr="009C1B2A">
        <w:rPr>
          <w:rFonts w:ascii="Arial" w:eastAsia="Times New Roman" w:hAnsi="Arial" w:cs="Arial"/>
          <w:color w:val="000000"/>
          <w:sz w:val="25"/>
          <w:szCs w:val="25"/>
          <w:lang w:val="es-UY" w:eastAsia="es-UY"/>
        </w:rPr>
        <w:t>, «</w:t>
      </w:r>
      <w:r w:rsidRPr="009C1B2A">
        <w:rPr>
          <w:rFonts w:ascii="Arial" w:eastAsia="Times New Roman" w:hAnsi="Arial" w:cs="Arial"/>
          <w:i/>
          <w:iCs/>
          <w:color w:val="000000"/>
          <w:sz w:val="25"/>
          <w:szCs w:val="25"/>
          <w:lang w:val="es-UY" w:eastAsia="es-UY"/>
        </w:rPr>
        <w:t xml:space="preserve">la esperanza escatológica es expectativa cristiana cuando influye en la responsabilidad posible y exigente (o –digámoslo así– utópico-realista) de encontrar o de crear soluciones más humanas, pertinentes y universales a los problemas históricos más relevantes, incluso cuando se abre a Dios mismo como recreador y resucitador en especial de pobres y oprimidos, de inocentes y vencidos. Sufrimiento, fracaso y muerte asumidos en tensión permanente convierten su sinsentido en </w:t>
      </w:r>
      <w:proofErr w:type="gramStart"/>
      <w:r w:rsidRPr="009C1B2A">
        <w:rPr>
          <w:rFonts w:ascii="Arial" w:eastAsia="Times New Roman" w:hAnsi="Arial" w:cs="Arial"/>
          <w:i/>
          <w:iCs/>
          <w:color w:val="000000"/>
          <w:sz w:val="25"/>
          <w:szCs w:val="25"/>
          <w:lang w:val="es-UY" w:eastAsia="es-UY"/>
        </w:rPr>
        <w:t>esperanza</w:t>
      </w:r>
      <w:r w:rsidRPr="009C1B2A">
        <w:rPr>
          <w:rFonts w:ascii="Arial" w:eastAsia="Times New Roman" w:hAnsi="Arial" w:cs="Arial"/>
          <w:color w:val="000000"/>
          <w:sz w:val="25"/>
          <w:szCs w:val="25"/>
          <w:lang w:val="es-UY" w:eastAsia="es-UY"/>
        </w:rPr>
        <w:t>»[</w:t>
      </w:r>
      <w:proofErr w:type="gramEnd"/>
      <w:r w:rsidRPr="009C1B2A">
        <w:rPr>
          <w:rFonts w:ascii="Arial" w:eastAsia="Times New Roman" w:hAnsi="Arial" w:cs="Arial"/>
          <w:color w:val="000000"/>
          <w:sz w:val="25"/>
          <w:szCs w:val="25"/>
          <w:lang w:val="es-UY" w:eastAsia="es-UY"/>
        </w:rPr>
        <w:t>3].</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w:t>
      </w:r>
      <w:r w:rsidRPr="009C1B2A">
        <w:rPr>
          <w:rFonts w:ascii="Arial" w:eastAsia="Times New Roman" w:hAnsi="Arial" w:cs="Arial"/>
          <w:i/>
          <w:iCs/>
          <w:color w:val="000000"/>
          <w:sz w:val="25"/>
          <w:szCs w:val="25"/>
          <w:lang w:val="es-UY" w:eastAsia="es-UY"/>
        </w:rPr>
        <w:t>Denles ustedes de comer</w:t>
      </w:r>
      <w:r w:rsidRPr="009C1B2A">
        <w:rPr>
          <w:rFonts w:ascii="Arial" w:eastAsia="Times New Roman" w:hAnsi="Arial" w:cs="Arial"/>
          <w:color w:val="000000"/>
          <w:sz w:val="25"/>
          <w:szCs w:val="25"/>
          <w:lang w:val="es-UY" w:eastAsia="es-UY"/>
        </w:rPr>
        <w:t>» es la respuesta más radical ante la presencia de Jesús Pan y Vino, ante el Dios que se hace alimento y vida para los creyentes (“éste es mi cuerpo… ésta es mi sangre”). Si somos partícipes de la Cena del Señor, si creemos en la presencia densa, radical del mismo Jesús en el pan consagrado y el vino que alegra el </w:t>
      </w:r>
      <w:proofErr w:type="spellStart"/>
      <w:r w:rsidRPr="009C1B2A">
        <w:rPr>
          <w:rFonts w:ascii="Arial" w:eastAsia="Times New Roman" w:hAnsi="Arial" w:cs="Arial"/>
          <w:i/>
          <w:iCs/>
          <w:color w:val="000000"/>
          <w:sz w:val="25"/>
          <w:szCs w:val="25"/>
          <w:lang w:val="es-UY" w:eastAsia="es-UY"/>
        </w:rPr>
        <w:t>leb</w:t>
      </w:r>
      <w:proofErr w:type="spellEnd"/>
      <w:r w:rsidRPr="009C1B2A">
        <w:rPr>
          <w:rFonts w:ascii="Arial" w:eastAsia="Times New Roman" w:hAnsi="Arial" w:cs="Arial"/>
          <w:i/>
          <w:iCs/>
          <w:color w:val="000000"/>
          <w:sz w:val="25"/>
          <w:szCs w:val="25"/>
          <w:lang w:val="es-UY" w:eastAsia="es-UY"/>
        </w:rPr>
        <w:t>-</w:t>
      </w:r>
      <w:r w:rsidRPr="009C1B2A">
        <w:rPr>
          <w:rFonts w:ascii="Arial" w:eastAsia="Times New Roman" w:hAnsi="Arial" w:cs="Arial"/>
          <w:color w:val="000000"/>
          <w:sz w:val="25"/>
          <w:szCs w:val="25"/>
          <w:lang w:val="es-UY" w:eastAsia="es-UY"/>
        </w:rPr>
        <w:t>corazón, es perentorio, es una exigencia en el amor, asumir una </w:t>
      </w:r>
      <w:r w:rsidRPr="009C1B2A">
        <w:rPr>
          <w:rFonts w:ascii="Arial" w:eastAsia="Times New Roman" w:hAnsi="Arial" w:cs="Arial"/>
          <w:i/>
          <w:iCs/>
          <w:color w:val="000000"/>
          <w:sz w:val="25"/>
          <w:szCs w:val="25"/>
          <w:lang w:val="es-UY" w:eastAsia="es-UY"/>
        </w:rPr>
        <w:t>ética eucarística</w:t>
      </w:r>
      <w:r w:rsidRPr="009C1B2A">
        <w:rPr>
          <w:rFonts w:ascii="Arial" w:eastAsia="Times New Roman" w:hAnsi="Arial" w:cs="Arial"/>
          <w:color w:val="000000"/>
          <w:sz w:val="25"/>
          <w:szCs w:val="25"/>
          <w:lang w:val="es-UY" w:eastAsia="es-UY"/>
        </w:rPr>
        <w:t>, en donde cristianas y cristianos nos entregamos a los demás, a quienes son menos, con la intensidad del mismo Nazareno. Somos nosotros pan para quienes tienen hambre y sed (de comida, de justicia, de amor), somos nosotros la cara del mismo Dios que hacemos comida. Somos los que le ponen, a la manera del sermón de la montaña, la sal y la luz (cf. Mt 5, 13-16), y quienes hacen de la lucha y el establecimiento de un mundo más solidario, justo y lleno de amor que hace arder el corazón un acto sacramental una acción (</w:t>
      </w:r>
      <w:proofErr w:type="spellStart"/>
      <w:r w:rsidRPr="009C1B2A">
        <w:rPr>
          <w:rFonts w:ascii="Arial" w:eastAsia="Times New Roman" w:hAnsi="Arial" w:cs="Arial"/>
          <w:i/>
          <w:iCs/>
          <w:color w:val="000000"/>
          <w:sz w:val="25"/>
          <w:szCs w:val="25"/>
          <w:lang w:val="es-UY" w:eastAsia="es-UY"/>
        </w:rPr>
        <w:t>facere</w:t>
      </w:r>
      <w:proofErr w:type="spellEnd"/>
      <w:r w:rsidRPr="009C1B2A">
        <w:rPr>
          <w:rFonts w:ascii="Arial" w:eastAsia="Times New Roman" w:hAnsi="Arial" w:cs="Arial"/>
          <w:color w:val="000000"/>
          <w:sz w:val="25"/>
          <w:szCs w:val="25"/>
          <w:lang w:val="es-UY" w:eastAsia="es-UY"/>
        </w:rPr>
        <w:t>) sagrada (</w:t>
      </w:r>
      <w:proofErr w:type="spellStart"/>
      <w:r w:rsidRPr="009C1B2A">
        <w:rPr>
          <w:rFonts w:ascii="Arial" w:eastAsia="Times New Roman" w:hAnsi="Arial" w:cs="Arial"/>
          <w:i/>
          <w:iCs/>
          <w:color w:val="000000"/>
          <w:sz w:val="25"/>
          <w:szCs w:val="25"/>
          <w:lang w:val="es-UY" w:eastAsia="es-UY"/>
        </w:rPr>
        <w:t>sacrum</w:t>
      </w:r>
      <w:proofErr w:type="spellEnd"/>
      <w:r w:rsidRPr="009C1B2A">
        <w:rPr>
          <w:rFonts w:ascii="Arial" w:eastAsia="Times New Roman" w:hAnsi="Arial" w:cs="Arial"/>
          <w:color w:val="000000"/>
          <w:sz w:val="25"/>
          <w:szCs w:val="25"/>
          <w:lang w:val="es-UY" w:eastAsia="es-UY"/>
        </w:rPr>
        <w:t>) desde la base de nuestra condición sacerdotal (</w:t>
      </w:r>
      <w:proofErr w:type="spellStart"/>
      <w:r w:rsidRPr="009C1B2A">
        <w:rPr>
          <w:rFonts w:ascii="Arial" w:eastAsia="Times New Roman" w:hAnsi="Arial" w:cs="Arial"/>
          <w:i/>
          <w:iCs/>
          <w:color w:val="000000"/>
          <w:sz w:val="25"/>
          <w:szCs w:val="25"/>
          <w:lang w:val="es-UY" w:eastAsia="es-UY"/>
        </w:rPr>
        <w:t>sacrum</w:t>
      </w:r>
      <w:r w:rsidRPr="009C1B2A">
        <w:rPr>
          <w:rFonts w:ascii="Arial" w:eastAsia="Times New Roman" w:hAnsi="Arial" w:cs="Arial"/>
          <w:color w:val="000000"/>
          <w:sz w:val="25"/>
          <w:szCs w:val="25"/>
          <w:lang w:val="es-UY" w:eastAsia="es-UY"/>
        </w:rPr>
        <w:t>-</w:t>
      </w:r>
      <w:r w:rsidRPr="009C1B2A">
        <w:rPr>
          <w:rFonts w:ascii="Arial" w:eastAsia="Times New Roman" w:hAnsi="Arial" w:cs="Arial"/>
          <w:i/>
          <w:iCs/>
          <w:color w:val="000000"/>
          <w:sz w:val="25"/>
          <w:szCs w:val="25"/>
          <w:lang w:val="es-UY" w:eastAsia="es-UY"/>
        </w:rPr>
        <w:t>facere</w:t>
      </w:r>
      <w:proofErr w:type="spellEnd"/>
      <w:r w:rsidRPr="009C1B2A">
        <w:rPr>
          <w:rFonts w:ascii="Arial" w:eastAsia="Times New Roman" w:hAnsi="Arial" w:cs="Arial"/>
          <w:color w:val="000000"/>
          <w:sz w:val="25"/>
          <w:szCs w:val="25"/>
          <w:lang w:val="es-UY" w:eastAsia="es-UY"/>
        </w:rPr>
        <w:t> = sacrificio, LG 34).</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En otras palabras, «</w:t>
      </w:r>
      <w:r w:rsidRPr="009C1B2A">
        <w:rPr>
          <w:rFonts w:ascii="Arial" w:eastAsia="Times New Roman" w:hAnsi="Arial" w:cs="Arial"/>
          <w:i/>
          <w:iCs/>
          <w:color w:val="000000"/>
          <w:sz w:val="25"/>
          <w:szCs w:val="25"/>
          <w:lang w:val="es-UY" w:eastAsia="es-UY"/>
        </w:rPr>
        <w:t xml:space="preserve">el Dios cristiano […] pasa haciendo el bien, siempre desde la encarnación samaritana y </w:t>
      </w:r>
      <w:proofErr w:type="spellStart"/>
      <w:r w:rsidRPr="009C1B2A">
        <w:rPr>
          <w:rFonts w:ascii="Arial" w:eastAsia="Times New Roman" w:hAnsi="Arial" w:cs="Arial"/>
          <w:i/>
          <w:iCs/>
          <w:color w:val="000000"/>
          <w:sz w:val="25"/>
          <w:szCs w:val="25"/>
          <w:lang w:val="es-UY" w:eastAsia="es-UY"/>
        </w:rPr>
        <w:t>kenótica</w:t>
      </w:r>
      <w:proofErr w:type="spellEnd"/>
      <w:r w:rsidRPr="009C1B2A">
        <w:rPr>
          <w:rFonts w:ascii="Arial" w:eastAsia="Times New Roman" w:hAnsi="Arial" w:cs="Arial"/>
          <w:i/>
          <w:iCs/>
          <w:color w:val="000000"/>
          <w:sz w:val="25"/>
          <w:szCs w:val="25"/>
          <w:lang w:val="es-UY" w:eastAsia="es-UY"/>
        </w:rPr>
        <w:t xml:space="preserve">. Al Dios cristiano se le </w:t>
      </w:r>
      <w:proofErr w:type="spellStart"/>
      <w:r w:rsidRPr="009C1B2A">
        <w:rPr>
          <w:rFonts w:ascii="Arial" w:eastAsia="Times New Roman" w:hAnsi="Arial" w:cs="Arial"/>
          <w:i/>
          <w:iCs/>
          <w:color w:val="000000"/>
          <w:sz w:val="25"/>
          <w:szCs w:val="25"/>
          <w:lang w:val="es-UY" w:eastAsia="es-UY"/>
        </w:rPr>
        <w:t>practica</w:t>
      </w:r>
      <w:proofErr w:type="spellEnd"/>
      <w:r w:rsidRPr="009C1B2A">
        <w:rPr>
          <w:rFonts w:ascii="Arial" w:eastAsia="Times New Roman" w:hAnsi="Arial" w:cs="Arial"/>
          <w:i/>
          <w:iCs/>
          <w:color w:val="000000"/>
          <w:sz w:val="25"/>
          <w:szCs w:val="25"/>
          <w:lang w:val="es-UY" w:eastAsia="es-UY"/>
        </w:rPr>
        <w:t xml:space="preserve">, se “le hace vivir”, acertando a darle un nombre –de palabra y de obra– que </w:t>
      </w:r>
      <w:proofErr w:type="gramStart"/>
      <w:r w:rsidRPr="009C1B2A">
        <w:rPr>
          <w:rFonts w:ascii="Arial" w:eastAsia="Times New Roman" w:hAnsi="Arial" w:cs="Arial"/>
          <w:i/>
          <w:iCs/>
          <w:color w:val="000000"/>
          <w:sz w:val="25"/>
          <w:szCs w:val="25"/>
          <w:lang w:val="es-UY" w:eastAsia="es-UY"/>
        </w:rPr>
        <w:t>salve</w:t>
      </w:r>
      <w:r w:rsidRPr="009C1B2A">
        <w:rPr>
          <w:rFonts w:ascii="Arial" w:eastAsia="Times New Roman" w:hAnsi="Arial" w:cs="Arial"/>
          <w:color w:val="000000"/>
          <w:sz w:val="25"/>
          <w:szCs w:val="25"/>
          <w:lang w:val="es-UY" w:eastAsia="es-UY"/>
        </w:rPr>
        <w:t>»[</w:t>
      </w:r>
      <w:proofErr w:type="gramEnd"/>
      <w:r w:rsidRPr="009C1B2A">
        <w:rPr>
          <w:rFonts w:ascii="Arial" w:eastAsia="Times New Roman" w:hAnsi="Arial" w:cs="Arial"/>
          <w:color w:val="000000"/>
          <w:sz w:val="25"/>
          <w:szCs w:val="25"/>
          <w:lang w:val="es-UY" w:eastAsia="es-UY"/>
        </w:rPr>
        <w:t>4]. La única manera de hacer el bien entre los seres humanos es asumir el ser rostros del Dios vivo, y llevar en nuestro ser el ser-comida, el hacer-sagrado-el-amor-de-Dios-Hombre, el ser la fiesta que nace de la liberación de tanta oscuridad (Dussel). Ése es el verdadero culto, lleno de la audacia de los primeros cristianos que asociaban la fracción del pan a la </w:t>
      </w:r>
      <w:r w:rsidRPr="009C1B2A">
        <w:rPr>
          <w:rFonts w:ascii="Arial" w:eastAsia="Times New Roman" w:hAnsi="Arial" w:cs="Arial"/>
          <w:i/>
          <w:iCs/>
          <w:color w:val="000000"/>
          <w:sz w:val="25"/>
          <w:szCs w:val="25"/>
          <w:lang w:val="es-UY" w:eastAsia="es-UY"/>
        </w:rPr>
        <w:t>Koinonía</w:t>
      </w:r>
      <w:r w:rsidRPr="009C1B2A">
        <w:rPr>
          <w:rFonts w:ascii="Arial" w:eastAsia="Times New Roman" w:hAnsi="Arial" w:cs="Arial"/>
          <w:color w:val="000000"/>
          <w:sz w:val="25"/>
          <w:szCs w:val="25"/>
          <w:lang w:val="es-UY" w:eastAsia="es-UY"/>
        </w:rPr>
        <w:t xml:space="preserve">, a la puesta en común de los bienes y la unión de los corazones (cf. </w:t>
      </w:r>
      <w:proofErr w:type="spellStart"/>
      <w:r w:rsidRPr="009C1B2A">
        <w:rPr>
          <w:rFonts w:ascii="Arial" w:eastAsia="Times New Roman" w:hAnsi="Arial" w:cs="Arial"/>
          <w:color w:val="000000"/>
          <w:sz w:val="25"/>
          <w:szCs w:val="25"/>
          <w:lang w:val="es-UY" w:eastAsia="es-UY"/>
        </w:rPr>
        <w:t>Hch</w:t>
      </w:r>
      <w:proofErr w:type="spellEnd"/>
      <w:r w:rsidRPr="009C1B2A">
        <w:rPr>
          <w:rFonts w:ascii="Arial" w:eastAsia="Times New Roman" w:hAnsi="Arial" w:cs="Arial"/>
          <w:color w:val="000000"/>
          <w:sz w:val="25"/>
          <w:szCs w:val="25"/>
          <w:lang w:val="es-UY" w:eastAsia="es-UY"/>
        </w:rPr>
        <w:t xml:space="preserve"> 2, 42-46; 4, 32); es el verdadero conocimiento de Dios, asociado a la justicia entre las personas, en clave profética, a la manera de </w:t>
      </w:r>
      <w:proofErr w:type="gramStart"/>
      <w:r w:rsidRPr="009C1B2A">
        <w:rPr>
          <w:rFonts w:ascii="Arial" w:eastAsia="Times New Roman" w:hAnsi="Arial" w:cs="Arial"/>
          <w:color w:val="000000"/>
          <w:sz w:val="25"/>
          <w:szCs w:val="25"/>
          <w:lang w:val="es-UY" w:eastAsia="es-UY"/>
        </w:rPr>
        <w:t>Jeremías[</w:t>
      </w:r>
      <w:proofErr w:type="gramEnd"/>
      <w:r w:rsidRPr="009C1B2A">
        <w:rPr>
          <w:rFonts w:ascii="Arial" w:eastAsia="Times New Roman" w:hAnsi="Arial" w:cs="Arial"/>
          <w:color w:val="000000"/>
          <w:sz w:val="25"/>
          <w:szCs w:val="25"/>
          <w:lang w:val="es-UY" w:eastAsia="es-UY"/>
        </w:rPr>
        <w:t>5].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De esta manera, podemos traer el pan a todas las mesas, vivir en clave de Pascua de muerte vencida y vida sobreabundante, de esa manera se pueden llenar las cestas de panes. Porque donde reina el Espíritu de vida, donde subsiste el Evangelio, es siempre una mesa de generosa abundancia, de agradecimiento por tanto que recibimos (</w:t>
      </w:r>
      <w:r w:rsidRPr="009C1B2A">
        <w:rPr>
          <w:rFonts w:ascii="Arial" w:eastAsia="Times New Roman" w:hAnsi="Arial" w:cs="Arial"/>
          <w:i/>
          <w:iCs/>
          <w:color w:val="000000"/>
          <w:sz w:val="25"/>
          <w:szCs w:val="25"/>
          <w:lang w:val="es-UY" w:eastAsia="es-UY"/>
        </w:rPr>
        <w:t>Eucaristía</w:t>
      </w:r>
      <w:r w:rsidRPr="009C1B2A">
        <w:rPr>
          <w:rFonts w:ascii="Arial" w:eastAsia="Times New Roman" w:hAnsi="Arial" w:cs="Arial"/>
          <w:color w:val="000000"/>
          <w:sz w:val="25"/>
          <w:szCs w:val="25"/>
          <w:lang w:val="es-UY" w:eastAsia="es-UY"/>
        </w:rPr>
        <w:t xml:space="preserve"> = Acción de gracias, de buenas-gracias), de fiesta y entrega, de canto, danza y esperanza porfiada, como escribiera Esteban Gumucio </w:t>
      </w:r>
      <w:proofErr w:type="spellStart"/>
      <w:r w:rsidRPr="009C1B2A">
        <w:rPr>
          <w:rFonts w:ascii="Arial" w:eastAsia="Times New Roman" w:hAnsi="Arial" w:cs="Arial"/>
          <w:color w:val="000000"/>
          <w:sz w:val="25"/>
          <w:szCs w:val="25"/>
          <w:lang w:val="es-UY" w:eastAsia="es-UY"/>
        </w:rPr>
        <w:t>Sscc</w:t>
      </w:r>
      <w:proofErr w:type="spellEnd"/>
      <w:r w:rsidRPr="009C1B2A">
        <w:rPr>
          <w:rFonts w:ascii="Arial" w:eastAsia="Times New Roman" w:hAnsi="Arial" w:cs="Arial"/>
          <w:color w:val="000000"/>
          <w:sz w:val="25"/>
          <w:szCs w:val="25"/>
          <w:lang w:val="es-UY" w:eastAsia="es-UY"/>
        </w:rPr>
        <w:t>:</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i/>
          <w:iCs/>
          <w:color w:val="000000"/>
          <w:sz w:val="25"/>
          <w:szCs w:val="25"/>
          <w:lang w:val="es-UY" w:eastAsia="es-UY"/>
        </w:rPr>
        <w:t>No me robarán la esperanza, </w:t>
      </w:r>
      <w:r w:rsidRPr="009C1B2A">
        <w:rPr>
          <w:rFonts w:ascii="Arial" w:eastAsia="Times New Roman" w:hAnsi="Arial" w:cs="Arial"/>
          <w:color w:val="000000"/>
          <w:sz w:val="25"/>
          <w:szCs w:val="25"/>
          <w:lang w:val="es-UY" w:eastAsia="es-UY"/>
        </w:rPr>
        <w:t>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i/>
          <w:iCs/>
          <w:color w:val="000000"/>
          <w:sz w:val="25"/>
          <w:szCs w:val="25"/>
          <w:lang w:val="es-UY" w:eastAsia="es-UY"/>
        </w:rPr>
        <w:t>no me la romperán;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i/>
          <w:iCs/>
          <w:color w:val="000000"/>
          <w:sz w:val="25"/>
          <w:szCs w:val="25"/>
          <w:lang w:val="es-UY" w:eastAsia="es-UY"/>
        </w:rPr>
        <w:t>vengan a cantarla conmigo,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i/>
          <w:iCs/>
          <w:color w:val="000000"/>
          <w:sz w:val="25"/>
          <w:szCs w:val="25"/>
          <w:lang w:val="es-UY" w:eastAsia="es-UY"/>
        </w:rPr>
        <w:t>vengan a cantar.</w:t>
      </w:r>
      <w:r w:rsidRPr="009C1B2A">
        <w:rPr>
          <w:rFonts w:ascii="Arial" w:eastAsia="Times New Roman" w:hAnsi="Arial" w:cs="Arial"/>
          <w:color w:val="000000"/>
          <w:sz w:val="25"/>
          <w:szCs w:val="25"/>
          <w:lang w:val="es-UY" w:eastAsia="es-UY"/>
        </w:rPr>
        <w:t> </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000000"/>
          <w:sz w:val="25"/>
          <w:szCs w:val="25"/>
          <w:lang w:val="es-UY" w:eastAsia="es-UY"/>
        </w:rPr>
        <w:t> </w:t>
      </w:r>
    </w:p>
    <w:p w:rsidR="009C1B2A" w:rsidRPr="009C1B2A" w:rsidRDefault="009C1B2A" w:rsidP="009C1B2A">
      <w:pPr>
        <w:spacing w:before="300" w:after="300" w:line="240" w:lineRule="auto"/>
        <w:rPr>
          <w:rFonts w:ascii="Arial" w:eastAsia="Times New Roman" w:hAnsi="Arial" w:cs="Arial"/>
          <w:color w:val="333333"/>
          <w:sz w:val="25"/>
          <w:szCs w:val="25"/>
          <w:lang w:val="es-UY" w:eastAsia="es-UY"/>
        </w:rPr>
      </w:pPr>
      <w:r w:rsidRPr="009C1B2A">
        <w:rPr>
          <w:rFonts w:ascii="Arial" w:eastAsia="Times New Roman" w:hAnsi="Arial" w:cs="Arial"/>
          <w:color w:val="333333"/>
          <w:sz w:val="25"/>
          <w:szCs w:val="25"/>
          <w:lang w:val="es-UY" w:eastAsia="es-UY"/>
        </w:rPr>
        <w:pict>
          <v:rect id="_x0000_i1026" style="width:0;height:0" o:hralign="left" o:hrstd="t" o:hr="t" fillcolor="#a0a0a0" stroked="f"/>
        </w:pic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r w:rsidRPr="009C1B2A">
        <w:rPr>
          <w:rFonts w:ascii="Arial" w:eastAsia="Times New Roman" w:hAnsi="Arial" w:cs="Arial"/>
          <w:color w:val="333333"/>
          <w:sz w:val="25"/>
          <w:szCs w:val="25"/>
          <w:lang w:val="es-UY" w:eastAsia="es-UY"/>
        </w:rPr>
        <w:t>[1] Expresión bastante fuerte por lo machista, pero nada podemos hacer ante el peso de la historia, sino resignificar los textos a la luz de estos tiempos que, al menos en lo concerniente a la igualdad de mujeres y hombres, ha avanzado bastante, para mayor gloria de Dios Padre/Madre.</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bookmarkStart w:id="0" w:name="_ftn1"/>
      <w:bookmarkEnd w:id="0"/>
      <w:r w:rsidRPr="009C1B2A">
        <w:rPr>
          <w:rFonts w:ascii="Arial" w:eastAsia="Times New Roman" w:hAnsi="Arial" w:cs="Arial"/>
          <w:color w:val="333333"/>
          <w:sz w:val="25"/>
          <w:szCs w:val="25"/>
          <w:lang w:val="es-UY" w:eastAsia="es-UY"/>
        </w:rPr>
        <w:t xml:space="preserve">[2] Cf. </w:t>
      </w:r>
      <w:proofErr w:type="spellStart"/>
      <w:r w:rsidRPr="009C1B2A">
        <w:rPr>
          <w:rFonts w:ascii="Arial" w:eastAsia="Times New Roman" w:hAnsi="Arial" w:cs="Arial"/>
          <w:color w:val="333333"/>
          <w:sz w:val="25"/>
          <w:szCs w:val="25"/>
          <w:lang w:val="es-UY" w:eastAsia="es-UY"/>
        </w:rPr>
        <w:t>Bennàssar</w:t>
      </w:r>
      <w:proofErr w:type="spellEnd"/>
      <w:r w:rsidRPr="009C1B2A">
        <w:rPr>
          <w:rFonts w:ascii="Arial" w:eastAsia="Times New Roman" w:hAnsi="Arial" w:cs="Arial"/>
          <w:color w:val="333333"/>
          <w:sz w:val="25"/>
          <w:szCs w:val="25"/>
          <w:lang w:val="es-UY" w:eastAsia="es-UY"/>
        </w:rPr>
        <w:t>, B., </w:t>
      </w:r>
      <w:r w:rsidRPr="009C1B2A">
        <w:rPr>
          <w:rFonts w:ascii="Arial" w:eastAsia="Times New Roman" w:hAnsi="Arial" w:cs="Arial"/>
          <w:i/>
          <w:iCs/>
          <w:color w:val="333333"/>
          <w:sz w:val="25"/>
          <w:szCs w:val="25"/>
          <w:lang w:val="es-UY" w:eastAsia="es-UY"/>
        </w:rPr>
        <w:t>Pensar y vivir moralmente. La actitud samaritana del Pueblo de Dios</w:t>
      </w:r>
      <w:r w:rsidRPr="009C1B2A">
        <w:rPr>
          <w:rFonts w:ascii="Arial" w:eastAsia="Times New Roman" w:hAnsi="Arial" w:cs="Arial"/>
          <w:color w:val="333333"/>
          <w:sz w:val="25"/>
          <w:szCs w:val="25"/>
          <w:lang w:val="es-UY" w:eastAsia="es-UY"/>
        </w:rPr>
        <w:t xml:space="preserve">, Sal </w:t>
      </w:r>
      <w:proofErr w:type="spellStart"/>
      <w:r w:rsidRPr="009C1B2A">
        <w:rPr>
          <w:rFonts w:ascii="Arial" w:eastAsia="Times New Roman" w:hAnsi="Arial" w:cs="Arial"/>
          <w:color w:val="333333"/>
          <w:sz w:val="25"/>
          <w:szCs w:val="25"/>
          <w:lang w:val="es-UY" w:eastAsia="es-UY"/>
        </w:rPr>
        <w:t>Terrae</w:t>
      </w:r>
      <w:proofErr w:type="spellEnd"/>
      <w:r w:rsidRPr="009C1B2A">
        <w:rPr>
          <w:rFonts w:ascii="Arial" w:eastAsia="Times New Roman" w:hAnsi="Arial" w:cs="Arial"/>
          <w:color w:val="333333"/>
          <w:sz w:val="25"/>
          <w:szCs w:val="25"/>
          <w:lang w:val="es-UY" w:eastAsia="es-UY"/>
        </w:rPr>
        <w:t>, Santander 1988, p 62</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bookmarkStart w:id="1" w:name="_ftn2"/>
      <w:bookmarkEnd w:id="1"/>
      <w:r w:rsidRPr="009C1B2A">
        <w:rPr>
          <w:rFonts w:ascii="Arial" w:eastAsia="Times New Roman" w:hAnsi="Arial" w:cs="Arial"/>
          <w:color w:val="333333"/>
          <w:sz w:val="25"/>
          <w:szCs w:val="25"/>
          <w:lang w:val="es-UY" w:eastAsia="es-UY"/>
        </w:rPr>
        <w:t xml:space="preserve">[3] </w:t>
      </w:r>
      <w:proofErr w:type="spellStart"/>
      <w:r w:rsidRPr="009C1B2A">
        <w:rPr>
          <w:rFonts w:ascii="Arial" w:eastAsia="Times New Roman" w:hAnsi="Arial" w:cs="Arial"/>
          <w:color w:val="333333"/>
          <w:sz w:val="25"/>
          <w:szCs w:val="25"/>
          <w:lang w:val="es-UY" w:eastAsia="es-UY"/>
        </w:rPr>
        <w:t>Bennàssar</w:t>
      </w:r>
      <w:proofErr w:type="spellEnd"/>
      <w:r w:rsidRPr="009C1B2A">
        <w:rPr>
          <w:rFonts w:ascii="Arial" w:eastAsia="Times New Roman" w:hAnsi="Arial" w:cs="Arial"/>
          <w:color w:val="333333"/>
          <w:sz w:val="25"/>
          <w:szCs w:val="25"/>
          <w:lang w:val="es-UY" w:eastAsia="es-UY"/>
        </w:rPr>
        <w:t>, B., </w:t>
      </w:r>
      <w:r w:rsidRPr="009C1B2A">
        <w:rPr>
          <w:rFonts w:ascii="Arial" w:eastAsia="Times New Roman" w:hAnsi="Arial" w:cs="Arial"/>
          <w:i/>
          <w:iCs/>
          <w:color w:val="333333"/>
          <w:sz w:val="25"/>
          <w:szCs w:val="25"/>
          <w:lang w:val="es-UY" w:eastAsia="es-UY"/>
        </w:rPr>
        <w:t>Pensar y</w:t>
      </w:r>
      <w:r w:rsidRPr="009C1B2A">
        <w:rPr>
          <w:rFonts w:ascii="Arial" w:eastAsia="Times New Roman" w:hAnsi="Arial" w:cs="Arial"/>
          <w:color w:val="333333"/>
          <w:sz w:val="25"/>
          <w:szCs w:val="25"/>
          <w:lang w:val="es-UY" w:eastAsia="es-UY"/>
        </w:rPr>
        <w:t>…, p 63.</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bookmarkStart w:id="2" w:name="_ftn3"/>
      <w:bookmarkEnd w:id="2"/>
      <w:r w:rsidRPr="009C1B2A">
        <w:rPr>
          <w:rFonts w:ascii="Arial" w:eastAsia="Times New Roman" w:hAnsi="Arial" w:cs="Arial"/>
          <w:color w:val="333333"/>
          <w:sz w:val="25"/>
          <w:szCs w:val="25"/>
          <w:lang w:val="es-UY" w:eastAsia="es-UY"/>
        </w:rPr>
        <w:t>[4] Ibid., p 45</w:t>
      </w:r>
    </w:p>
    <w:p w:rsidR="009C1B2A" w:rsidRPr="009C1B2A" w:rsidRDefault="009C1B2A" w:rsidP="009C1B2A">
      <w:pPr>
        <w:spacing w:after="300" w:line="240" w:lineRule="auto"/>
        <w:jc w:val="both"/>
        <w:rPr>
          <w:rFonts w:ascii="Arial" w:eastAsia="Times New Roman" w:hAnsi="Arial" w:cs="Arial"/>
          <w:color w:val="333333"/>
          <w:sz w:val="25"/>
          <w:szCs w:val="25"/>
          <w:lang w:val="es-UY" w:eastAsia="es-UY"/>
        </w:rPr>
      </w:pPr>
      <w:bookmarkStart w:id="3" w:name="_ftn4"/>
      <w:bookmarkEnd w:id="3"/>
      <w:r w:rsidRPr="009C1B2A">
        <w:rPr>
          <w:rFonts w:ascii="Arial" w:eastAsia="Times New Roman" w:hAnsi="Arial" w:cs="Arial"/>
          <w:color w:val="333333"/>
          <w:sz w:val="25"/>
          <w:szCs w:val="25"/>
          <w:lang w:val="es-UY" w:eastAsia="es-UY"/>
        </w:rPr>
        <w:t xml:space="preserve">[5] </w:t>
      </w:r>
      <w:proofErr w:type="spellStart"/>
      <w:r w:rsidRPr="009C1B2A">
        <w:rPr>
          <w:rFonts w:ascii="Arial" w:eastAsia="Times New Roman" w:hAnsi="Arial" w:cs="Arial"/>
          <w:color w:val="333333"/>
          <w:sz w:val="25"/>
          <w:szCs w:val="25"/>
          <w:lang w:val="es-UY" w:eastAsia="es-UY"/>
        </w:rPr>
        <w:t>Jr</w:t>
      </w:r>
      <w:proofErr w:type="spellEnd"/>
      <w:r w:rsidRPr="009C1B2A">
        <w:rPr>
          <w:rFonts w:ascii="Arial" w:eastAsia="Times New Roman" w:hAnsi="Arial" w:cs="Arial"/>
          <w:color w:val="333333"/>
          <w:sz w:val="25"/>
          <w:szCs w:val="25"/>
          <w:lang w:val="es-UY" w:eastAsia="es-UY"/>
        </w:rPr>
        <w:t xml:space="preserve"> 22, 13-16; cf. Castillo, J. M., </w:t>
      </w:r>
      <w:r w:rsidRPr="009C1B2A">
        <w:rPr>
          <w:rFonts w:ascii="Arial" w:eastAsia="Times New Roman" w:hAnsi="Arial" w:cs="Arial"/>
          <w:i/>
          <w:iCs/>
          <w:color w:val="333333"/>
          <w:sz w:val="25"/>
          <w:szCs w:val="25"/>
          <w:lang w:val="es-UY" w:eastAsia="es-UY"/>
        </w:rPr>
        <w:t>La Alternativa Cristiana</w:t>
      </w:r>
      <w:r w:rsidRPr="009C1B2A">
        <w:rPr>
          <w:rFonts w:ascii="Arial" w:eastAsia="Times New Roman" w:hAnsi="Arial" w:cs="Arial"/>
          <w:color w:val="333333"/>
          <w:sz w:val="25"/>
          <w:szCs w:val="25"/>
          <w:lang w:val="es-UY" w:eastAsia="es-UY"/>
        </w:rPr>
        <w:t xml:space="preserve">, Sígueme, Salamanca 1987, </w:t>
      </w:r>
      <w:proofErr w:type="spellStart"/>
      <w:r w:rsidRPr="009C1B2A">
        <w:rPr>
          <w:rFonts w:ascii="Arial" w:eastAsia="Times New Roman" w:hAnsi="Arial" w:cs="Arial"/>
          <w:color w:val="333333"/>
          <w:sz w:val="25"/>
          <w:szCs w:val="25"/>
          <w:lang w:val="es-UY" w:eastAsia="es-UY"/>
        </w:rPr>
        <w:t>pp</w:t>
      </w:r>
      <w:proofErr w:type="spellEnd"/>
      <w:r w:rsidRPr="009C1B2A">
        <w:rPr>
          <w:rFonts w:ascii="Arial" w:eastAsia="Times New Roman" w:hAnsi="Arial" w:cs="Arial"/>
          <w:color w:val="333333"/>
          <w:sz w:val="25"/>
          <w:szCs w:val="25"/>
          <w:lang w:val="es-UY" w:eastAsia="es-UY"/>
        </w:rPr>
        <w:t xml:space="preserve"> 313s.</w:t>
      </w:r>
    </w:p>
    <w:p w:rsidR="002E2F5B" w:rsidRDefault="009C1B2A">
      <w:hyperlink r:id="rId5" w:history="1">
        <w:r>
          <w:rPr>
            <w:rStyle w:val="Hipervnculo"/>
          </w:rPr>
          <w:t>https://lucianotroncoso.site123.me/reflexiones/vayan-ustedes</w:t>
        </w:r>
      </w:hyperlink>
      <w:bookmarkStart w:id="4" w:name="_GoBack"/>
      <w:bookmarkEnd w:id="4"/>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A"/>
    <w:rsid w:val="002E2F5B"/>
    <w:rsid w:val="009C1B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4E59D-2B58-4A15-AAEA-399317D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1B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B2A"/>
    <w:rPr>
      <w:rFonts w:ascii="Segoe UI" w:hAnsi="Segoe UI" w:cs="Segoe UI"/>
      <w:sz w:val="18"/>
      <w:szCs w:val="18"/>
      <w:lang w:val="es-419"/>
    </w:rPr>
  </w:style>
  <w:style w:type="character" w:styleId="Hipervnculo">
    <w:name w:val="Hyperlink"/>
    <w:basedOn w:val="Fuentedeprrafopredeter"/>
    <w:uiPriority w:val="99"/>
    <w:semiHidden/>
    <w:unhideWhenUsed/>
    <w:rsid w:val="009C1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3196">
      <w:bodyDiv w:val="1"/>
      <w:marLeft w:val="0"/>
      <w:marRight w:val="0"/>
      <w:marTop w:val="0"/>
      <w:marBottom w:val="0"/>
      <w:divBdr>
        <w:top w:val="none" w:sz="0" w:space="0" w:color="auto"/>
        <w:left w:val="none" w:sz="0" w:space="0" w:color="auto"/>
        <w:bottom w:val="none" w:sz="0" w:space="0" w:color="auto"/>
        <w:right w:val="none" w:sz="0" w:space="0" w:color="auto"/>
      </w:divBdr>
      <w:divsChild>
        <w:div w:id="635336977">
          <w:marLeft w:val="0"/>
          <w:marRight w:val="0"/>
          <w:marTop w:val="0"/>
          <w:marBottom w:val="0"/>
          <w:divBdr>
            <w:top w:val="none" w:sz="0" w:space="0" w:color="auto"/>
            <w:left w:val="none" w:sz="0" w:space="0" w:color="auto"/>
            <w:bottom w:val="none" w:sz="0" w:space="0" w:color="auto"/>
            <w:right w:val="none" w:sz="0" w:space="0" w:color="auto"/>
          </w:divBdr>
          <w:divsChild>
            <w:div w:id="1746535972">
              <w:marLeft w:val="0"/>
              <w:marRight w:val="0"/>
              <w:marTop w:val="0"/>
              <w:marBottom w:val="0"/>
              <w:divBdr>
                <w:top w:val="none" w:sz="0" w:space="0" w:color="auto"/>
                <w:left w:val="none" w:sz="0" w:space="0" w:color="auto"/>
                <w:bottom w:val="none" w:sz="0" w:space="0" w:color="auto"/>
                <w:right w:val="none" w:sz="0" w:space="0" w:color="auto"/>
              </w:divBdr>
              <w:divsChild>
                <w:div w:id="7909763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3406909">
          <w:marLeft w:val="0"/>
          <w:marRight w:val="0"/>
          <w:marTop w:val="0"/>
          <w:marBottom w:val="120"/>
          <w:divBdr>
            <w:top w:val="none" w:sz="0" w:space="0" w:color="auto"/>
            <w:left w:val="none" w:sz="0" w:space="0" w:color="auto"/>
            <w:bottom w:val="none" w:sz="0" w:space="0" w:color="auto"/>
            <w:right w:val="none" w:sz="0" w:space="0" w:color="auto"/>
          </w:divBdr>
          <w:divsChild>
            <w:div w:id="1053819190">
              <w:marLeft w:val="0"/>
              <w:marRight w:val="0"/>
              <w:marTop w:val="150"/>
              <w:marBottom w:val="150"/>
              <w:divBdr>
                <w:top w:val="none" w:sz="0" w:space="0" w:color="auto"/>
                <w:left w:val="none" w:sz="0" w:space="0" w:color="auto"/>
                <w:bottom w:val="none" w:sz="0" w:space="0" w:color="auto"/>
                <w:right w:val="none" w:sz="0" w:space="0" w:color="auto"/>
              </w:divBdr>
            </w:div>
          </w:divsChild>
        </w:div>
        <w:div w:id="250627919">
          <w:marLeft w:val="0"/>
          <w:marRight w:val="0"/>
          <w:marTop w:val="0"/>
          <w:marBottom w:val="0"/>
          <w:divBdr>
            <w:top w:val="none" w:sz="0" w:space="0" w:color="auto"/>
            <w:left w:val="none" w:sz="0" w:space="0" w:color="auto"/>
            <w:bottom w:val="none" w:sz="0" w:space="0" w:color="auto"/>
            <w:right w:val="none" w:sz="0" w:space="0" w:color="auto"/>
          </w:divBdr>
          <w:divsChild>
            <w:div w:id="710960195">
              <w:marLeft w:val="-225"/>
              <w:marRight w:val="-225"/>
              <w:marTop w:val="0"/>
              <w:marBottom w:val="0"/>
              <w:divBdr>
                <w:top w:val="none" w:sz="0" w:space="0" w:color="auto"/>
                <w:left w:val="none" w:sz="0" w:space="0" w:color="auto"/>
                <w:bottom w:val="none" w:sz="0" w:space="0" w:color="auto"/>
                <w:right w:val="none" w:sz="0" w:space="0" w:color="auto"/>
              </w:divBdr>
              <w:divsChild>
                <w:div w:id="1879512250">
                  <w:marLeft w:val="2925"/>
                  <w:marRight w:val="0"/>
                  <w:marTop w:val="0"/>
                  <w:marBottom w:val="0"/>
                  <w:divBdr>
                    <w:top w:val="none" w:sz="0" w:space="0" w:color="auto"/>
                    <w:left w:val="none" w:sz="0" w:space="0" w:color="auto"/>
                    <w:bottom w:val="none" w:sz="0" w:space="0" w:color="auto"/>
                    <w:right w:val="none" w:sz="0" w:space="0" w:color="auto"/>
                  </w:divBdr>
                  <w:divsChild>
                    <w:div w:id="1968664259">
                      <w:marLeft w:val="0"/>
                      <w:marRight w:val="0"/>
                      <w:marTop w:val="0"/>
                      <w:marBottom w:val="150"/>
                      <w:divBdr>
                        <w:top w:val="none" w:sz="0" w:space="0" w:color="auto"/>
                        <w:left w:val="none" w:sz="0" w:space="0" w:color="auto"/>
                        <w:bottom w:val="none" w:sz="0" w:space="0" w:color="auto"/>
                        <w:right w:val="none" w:sz="0" w:space="0" w:color="auto"/>
                      </w:divBdr>
                    </w:div>
                    <w:div w:id="2079162103">
                      <w:marLeft w:val="0"/>
                      <w:marRight w:val="0"/>
                      <w:marTop w:val="0"/>
                      <w:marBottom w:val="0"/>
                      <w:divBdr>
                        <w:top w:val="none" w:sz="0" w:space="0" w:color="auto"/>
                        <w:left w:val="none" w:sz="0" w:space="0" w:color="auto"/>
                        <w:bottom w:val="none" w:sz="0" w:space="0" w:color="auto"/>
                        <w:right w:val="none" w:sz="0" w:space="0" w:color="auto"/>
                      </w:divBdr>
                      <w:divsChild>
                        <w:div w:id="1434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cianotroncoso.site123.me/reflexiones/vayan-usted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5410</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Vayan Ustedes...</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2019-08-20T13:20:00Z</dcterms:created>
  <dcterms:modified xsi:type="dcterms:W3CDTF">2019-08-20T13:21:00Z</dcterms:modified>
</cp:coreProperties>
</file>