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D5E" w:rsidRPr="006A1D5E" w:rsidRDefault="006A1D5E" w:rsidP="006A1D5E">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r w:rsidRPr="006A1D5E">
        <w:rPr>
          <w:rFonts w:ascii="Arial" w:eastAsia="Times New Roman" w:hAnsi="Arial" w:cs="Arial"/>
          <w:b/>
          <w:bCs/>
          <w:color w:val="2D2D2D"/>
          <w:sz w:val="39"/>
          <w:szCs w:val="39"/>
          <w:lang w:val="es-UY" w:eastAsia="es-UY"/>
        </w:rPr>
        <w:t>Viejos y nuevos anhelos en este primero de mayo</w:t>
      </w:r>
    </w:p>
    <w:p w:rsidR="006A1D5E" w:rsidRPr="006A1D5E" w:rsidRDefault="006A1D5E" w:rsidP="006A1D5E">
      <w:pPr>
        <w:shd w:val="clear" w:color="auto" w:fill="FFFFFF"/>
        <w:spacing w:after="105" w:line="240" w:lineRule="auto"/>
        <w:textAlignment w:val="baseline"/>
        <w:rPr>
          <w:rFonts w:ascii="inherit" w:eastAsia="Times New Roman" w:hAnsi="inherit" w:cs="Arial"/>
          <w:color w:val="888888"/>
          <w:sz w:val="18"/>
          <w:szCs w:val="18"/>
          <w:lang w:val="es-UY" w:eastAsia="es-UY"/>
        </w:rPr>
      </w:pPr>
      <w:r w:rsidRPr="006A1D5E">
        <w:rPr>
          <w:rFonts w:ascii="inherit" w:eastAsia="Times New Roman" w:hAnsi="inherit" w:cs="Arial"/>
          <w:color w:val="888888"/>
          <w:sz w:val="18"/>
          <w:szCs w:val="18"/>
          <w:bdr w:val="none" w:sz="0" w:space="0" w:color="auto" w:frame="1"/>
          <w:lang w:val="es-UY" w:eastAsia="es-UY"/>
        </w:rPr>
        <w:t>Mayo 1, 2019</w:t>
      </w:r>
      <w:r w:rsidRPr="006A1D5E">
        <w:rPr>
          <w:rFonts w:ascii="inherit" w:eastAsia="Times New Roman" w:hAnsi="inherit" w:cs="Arial"/>
          <w:color w:val="888888"/>
          <w:sz w:val="18"/>
          <w:szCs w:val="18"/>
          <w:lang w:val="es-UY" w:eastAsia="es-UY"/>
        </w:rPr>
        <w:t> </w:t>
      </w:r>
      <w:r w:rsidRPr="006A1D5E">
        <w:rPr>
          <w:rFonts w:ascii="inherit" w:eastAsia="Times New Roman" w:hAnsi="inherit" w:cs="Arial"/>
          <w:color w:val="888888"/>
          <w:sz w:val="18"/>
          <w:szCs w:val="18"/>
          <w:bdr w:val="none" w:sz="0" w:space="0" w:color="auto" w:frame="1"/>
          <w:lang w:val="es-UY" w:eastAsia="es-UY"/>
        </w:rPr>
        <w:t>- </w:t>
      </w:r>
      <w:r w:rsidRPr="006A1D5E">
        <w:rPr>
          <w:rFonts w:ascii="inherit" w:eastAsia="Times New Roman" w:hAnsi="inherit" w:cs="Arial"/>
          <w:color w:val="888888"/>
          <w:sz w:val="18"/>
          <w:szCs w:val="18"/>
          <w:lang w:val="es-UY" w:eastAsia="es-UY"/>
        </w:rPr>
        <w:t xml:space="preserve"> </w:t>
      </w:r>
    </w:p>
    <w:p w:rsidR="006A1D5E" w:rsidRPr="006A1D5E" w:rsidRDefault="006A1D5E" w:rsidP="006A1D5E">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6A1D5E">
        <w:rPr>
          <w:rFonts w:ascii="inherit" w:eastAsia="Times New Roman" w:hAnsi="inherit" w:cs="Arial"/>
          <w:noProof/>
          <w:color w:val="2D2D2D"/>
          <w:sz w:val="24"/>
          <w:szCs w:val="24"/>
          <w:lang w:val="es-UY" w:eastAsia="es-UY"/>
        </w:rPr>
        <w:drawing>
          <wp:inline distT="0" distB="0" distL="0" distR="0" wp14:anchorId="066D7560" wp14:editId="646CC357">
            <wp:extent cx="5486400" cy="3117680"/>
            <wp:effectExtent l="0" t="0" r="0" b="6985"/>
            <wp:docPr id="1" name="Imagen 1" descr="http://revistasic.gumilla.org/wp-content/uploads/2019/05/IMG_20160821_235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stasic.gumilla.org/wp-content/uploads/2019/05/IMG_20160821_2358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5401" cy="3122795"/>
                    </a:xfrm>
                    <a:prstGeom prst="rect">
                      <a:avLst/>
                    </a:prstGeom>
                    <a:noFill/>
                    <a:ln>
                      <a:noFill/>
                    </a:ln>
                  </pic:spPr>
                </pic:pic>
              </a:graphicData>
            </a:graphic>
          </wp:inline>
        </w:drawing>
      </w:r>
    </w:p>
    <w:p w:rsidR="006A1D5E" w:rsidRPr="006A1D5E" w:rsidRDefault="006A1D5E" w:rsidP="006A1D5E">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6A1D5E">
        <w:rPr>
          <w:rFonts w:ascii="Georgia" w:eastAsia="Times New Roman" w:hAnsi="Georgia" w:cs="Arial"/>
          <w:color w:val="666666"/>
          <w:sz w:val="18"/>
          <w:szCs w:val="18"/>
          <w:lang w:val="es-UY" w:eastAsia="es-UY"/>
        </w:rPr>
        <w:t>Foto: Cortesía</w:t>
      </w:r>
    </w:p>
    <w:p w:rsidR="006A1D5E" w:rsidRDefault="006A1D5E" w:rsidP="006A1D5E">
      <w:pPr>
        <w:shd w:val="clear" w:color="auto" w:fill="FFFFFF"/>
        <w:spacing w:after="0" w:line="240" w:lineRule="auto"/>
        <w:textAlignment w:val="baseline"/>
        <w:rPr>
          <w:rFonts w:ascii="inherit" w:eastAsia="Times New Roman" w:hAnsi="inherit" w:cs="Arial"/>
          <w:b/>
          <w:bCs/>
          <w:color w:val="2D2D2D"/>
          <w:sz w:val="24"/>
          <w:szCs w:val="24"/>
          <w:bdr w:val="none" w:sz="0" w:space="0" w:color="auto" w:frame="1"/>
          <w:lang w:val="es-UY" w:eastAsia="es-UY"/>
        </w:rPr>
      </w:pPr>
      <w:r w:rsidRPr="006A1D5E">
        <w:rPr>
          <w:rFonts w:ascii="inherit" w:eastAsia="Times New Roman" w:hAnsi="inherit" w:cs="Arial"/>
          <w:b/>
          <w:bCs/>
          <w:color w:val="2D2D2D"/>
          <w:sz w:val="24"/>
          <w:szCs w:val="24"/>
          <w:bdr w:val="none" w:sz="0" w:space="0" w:color="auto" w:frame="1"/>
          <w:lang w:val="es-UY" w:eastAsia="es-UY"/>
        </w:rPr>
        <w:t>Por Susana Reina</w:t>
      </w:r>
    </w:p>
    <w:p w:rsidR="006A1D5E" w:rsidRPr="006A1D5E" w:rsidRDefault="006A1D5E" w:rsidP="006A1D5E">
      <w:pPr>
        <w:shd w:val="clear" w:color="auto" w:fill="FFFFFF"/>
        <w:spacing w:after="0" w:line="240" w:lineRule="auto"/>
        <w:textAlignment w:val="baseline"/>
        <w:rPr>
          <w:rFonts w:ascii="Arial" w:eastAsia="Times New Roman" w:hAnsi="Arial" w:cs="Arial"/>
          <w:color w:val="2D2D2D"/>
          <w:sz w:val="24"/>
          <w:szCs w:val="24"/>
          <w:lang w:val="es-UY" w:eastAsia="es-UY"/>
        </w:rPr>
      </w:pPr>
    </w:p>
    <w:p w:rsidR="006A1D5E" w:rsidRPr="006A1D5E" w:rsidRDefault="006A1D5E" w:rsidP="006A1D5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6A1D5E">
        <w:rPr>
          <w:rFonts w:ascii="Arial" w:eastAsia="Times New Roman" w:hAnsi="Arial" w:cs="Arial"/>
          <w:color w:val="2D2D2D"/>
          <w:sz w:val="24"/>
          <w:szCs w:val="24"/>
          <w:lang w:val="es-UY" w:eastAsia="es-UY"/>
        </w:rPr>
        <w:t>El Día Internacional de los Trabajadores es básicamente una fecha que conmemora las luchas sindicales que el movimiento obrero encabezó a finales del siglo XIX para conseguir beneficios laborales fundamentales, incluyendo la reducción de las jornadas diarias hasta el común más frecuente de ocho horas de trabajo y no las 12 o 15 que se exigía en ese entonces.</w:t>
      </w:r>
    </w:p>
    <w:p w:rsidR="006A1D5E" w:rsidRPr="006A1D5E" w:rsidRDefault="006A1D5E" w:rsidP="006A1D5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6A1D5E">
        <w:rPr>
          <w:rFonts w:ascii="Arial" w:eastAsia="Times New Roman" w:hAnsi="Arial" w:cs="Arial"/>
          <w:color w:val="2D2D2D"/>
          <w:sz w:val="24"/>
          <w:szCs w:val="24"/>
          <w:lang w:val="es-UY" w:eastAsia="es-UY"/>
        </w:rPr>
        <w:t xml:space="preserve">Para que esto fuese posible, muchos perdieron la vida como siempre ocurre cuando se asumen luchas sociales transformadoras de cultura. Son verdaderas revoluciones que hoy lucen obvias y hasta absurdas porque lo alcanzado en ese momento, con mucha carga de sacrificio y </w:t>
      </w:r>
      <w:proofErr w:type="spellStart"/>
      <w:proofErr w:type="gramStart"/>
      <w:r w:rsidRPr="006A1D5E">
        <w:rPr>
          <w:rFonts w:ascii="Arial" w:eastAsia="Times New Roman" w:hAnsi="Arial" w:cs="Arial"/>
          <w:color w:val="2D2D2D"/>
          <w:sz w:val="24"/>
          <w:szCs w:val="24"/>
          <w:lang w:val="es-UY" w:eastAsia="es-UY"/>
        </w:rPr>
        <w:t>dolor,hoy</w:t>
      </w:r>
      <w:proofErr w:type="spellEnd"/>
      <w:proofErr w:type="gramEnd"/>
      <w:r w:rsidRPr="006A1D5E">
        <w:rPr>
          <w:rFonts w:ascii="Arial" w:eastAsia="Times New Roman" w:hAnsi="Arial" w:cs="Arial"/>
          <w:color w:val="2D2D2D"/>
          <w:sz w:val="24"/>
          <w:szCs w:val="24"/>
          <w:lang w:val="es-UY" w:eastAsia="es-UY"/>
        </w:rPr>
        <w:t xml:space="preserve"> ya se ha asimilado al modelo cultural dominante y nos deja la impresión de que en esa época se vivía más o menos en la barbarie.</w:t>
      </w:r>
    </w:p>
    <w:p w:rsidR="006A1D5E" w:rsidRPr="006A1D5E" w:rsidRDefault="006A1D5E" w:rsidP="006A1D5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6A1D5E">
        <w:rPr>
          <w:rFonts w:ascii="Arial" w:eastAsia="Times New Roman" w:hAnsi="Arial" w:cs="Arial"/>
          <w:color w:val="2D2D2D"/>
          <w:sz w:val="24"/>
          <w:szCs w:val="24"/>
          <w:lang w:val="es-UY" w:eastAsia="es-UY"/>
        </w:rPr>
        <w:t>En ocasiones, como en el caso de los derechos laborales, se trata de una lucha que no se ha detenido. Algo similar sucede con los derechos de las mujeres en todos los ámbitos. Las luchas del pasado consolidaron derechos que, para los momentos históricos en los que se consiguieron, resultaban revolucionarios, aunque hoy parezcan parte del paisaje normal institucional y cultural. Específicamente en materia laboral, aprovechando que es primero de mayo, me quiero referir a tres temas que siguen pendientes en la agenda feminista: trabajadoras formales, trabajadoras domésticas y las mal llamadas trabajadoras sexuales.</w:t>
      </w:r>
    </w:p>
    <w:p w:rsidR="006A1D5E" w:rsidRPr="006A1D5E" w:rsidRDefault="006A1D5E" w:rsidP="006A1D5E">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6A1D5E">
        <w:rPr>
          <w:rFonts w:ascii="inherit" w:eastAsia="Times New Roman" w:hAnsi="inherit" w:cs="Arial"/>
          <w:b/>
          <w:bCs/>
          <w:color w:val="2D2D2D"/>
          <w:sz w:val="24"/>
          <w:szCs w:val="24"/>
          <w:bdr w:val="none" w:sz="0" w:space="0" w:color="auto" w:frame="1"/>
          <w:lang w:val="es-UY" w:eastAsia="es-UY"/>
        </w:rPr>
        <w:t>Trabajo asalariado</w:t>
      </w:r>
    </w:p>
    <w:p w:rsidR="006A1D5E" w:rsidRPr="006A1D5E" w:rsidRDefault="006A1D5E" w:rsidP="006A1D5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6A1D5E">
        <w:rPr>
          <w:rFonts w:ascii="Arial" w:eastAsia="Times New Roman" w:hAnsi="Arial" w:cs="Arial"/>
          <w:color w:val="2D2D2D"/>
          <w:sz w:val="24"/>
          <w:szCs w:val="24"/>
          <w:lang w:val="es-UY" w:eastAsia="es-UY"/>
        </w:rPr>
        <w:lastRenderedPageBreak/>
        <w:t>La situación de las mujeres que perciben remuneración o salario por su trabajo está, aún en nuestros días, supeditada a obstáculos que dificultan su acceso, permanencia y desarrollo vertical en las estructuras empresariales. Para ilustrar esto se han empleado metáforas tales como el “techo de cristal”, que describe barreras invisibles que impiden el ascenso de mujeres a la dirección; el “suelo pegajoso”, entendido a partir de las labores de cuidados y carga doméstica que le roban tiempo a las mujeres para dedicarse a trabajar por su carrera profesional; el “laberinto invisible” que explica la segregación de mujeres para que ocupen puestos de menor remuneración y proyección, entre otros factores sistémicos que explican por qué en las empresas no existe una simple competencia de méritos hombre-mujer para ascender.</w:t>
      </w:r>
    </w:p>
    <w:p w:rsidR="006A1D5E" w:rsidRPr="006A1D5E" w:rsidRDefault="006A1D5E" w:rsidP="006A1D5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6A1D5E">
        <w:rPr>
          <w:rFonts w:ascii="Arial" w:eastAsia="Times New Roman" w:hAnsi="Arial" w:cs="Arial"/>
          <w:color w:val="2D2D2D"/>
          <w:sz w:val="24"/>
          <w:szCs w:val="24"/>
          <w:lang w:val="es-UY" w:eastAsia="es-UY"/>
        </w:rPr>
        <w:t>Fenómenos tales como la brecha salarial, la penalidad por maternidad, los estereotipos sexistas que encasillan a las mujeres a puestos tradicionales o siembran sobre ellas rasgos asociados a ser “femenina” correlacionándolo negativamente con competitividad y asunción de riesgos, siguen ocurriendo sin que la mayor parte del sector privado empresarial o los gobiernos tomen carta activa en su solución.</w:t>
      </w:r>
    </w:p>
    <w:p w:rsidR="006A1D5E" w:rsidRPr="006A1D5E" w:rsidRDefault="006A1D5E" w:rsidP="006A1D5E">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6A1D5E">
        <w:rPr>
          <w:rFonts w:ascii="inherit" w:eastAsia="Times New Roman" w:hAnsi="inherit" w:cs="Arial"/>
          <w:b/>
          <w:bCs/>
          <w:color w:val="2D2D2D"/>
          <w:sz w:val="24"/>
          <w:szCs w:val="24"/>
          <w:bdr w:val="none" w:sz="0" w:space="0" w:color="auto" w:frame="1"/>
          <w:lang w:val="es-UY" w:eastAsia="es-UY"/>
        </w:rPr>
        <w:t>Trabajo doméstico</w:t>
      </w:r>
    </w:p>
    <w:p w:rsidR="006A1D5E" w:rsidRPr="006A1D5E" w:rsidRDefault="006A1D5E" w:rsidP="006A1D5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6A1D5E">
        <w:rPr>
          <w:rFonts w:ascii="Arial" w:eastAsia="Times New Roman" w:hAnsi="Arial" w:cs="Arial"/>
          <w:color w:val="2D2D2D"/>
          <w:sz w:val="24"/>
          <w:szCs w:val="24"/>
          <w:lang w:val="es-UY" w:eastAsia="es-UY"/>
        </w:rPr>
        <w:t>Por otro lado, las trabajadoras domésticas, bien las que reciben un pago por su trabajo o aquellas que lo asumen como segunda jornada laboral (asalariadas que al llegar a sus casas deben dedicarse a preparar comida, limpiar, atender niños o adultos mayores), tienen un panorama mucho más complicado. No cotizan para la seguridad social por dicha labor, le carga de tareas duras no valoradas socialmente, restan tiempo valioso para proyectos personales, viviéndose además mucha culpa el intentar desprenderse de estas funciones.</w:t>
      </w:r>
    </w:p>
    <w:p w:rsidR="006A1D5E" w:rsidRPr="006A1D5E" w:rsidRDefault="006A1D5E" w:rsidP="006A1D5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6A1D5E">
        <w:rPr>
          <w:rFonts w:ascii="Arial" w:eastAsia="Times New Roman" w:hAnsi="Arial" w:cs="Arial"/>
          <w:color w:val="2D2D2D"/>
          <w:sz w:val="24"/>
          <w:szCs w:val="24"/>
          <w:lang w:val="es-UY" w:eastAsia="es-UY"/>
        </w:rPr>
        <w:t>En el caso de las trabajadoras domésticas asalariadas, una actividad generalmente asignada al género femenino, en la mayor parte del mundo viven sus experiencias laborales prácticamente sin control social, más expuestas que una trabajadora de una empresa a los abusos de autoridad y menos protegidas por acuerdos legales y convencionales. Muchas trabajan sin contratos y sin registro de seguridad social, sin vacaciones, sin medidas de prevención y protección frente a los riesgos inherentes a su labor, sin tarifas horarias ajustadas que les permitan percibir remuneraciones extraordinarias al exceder su jornada, entre otros beneficios típicos de un contrato de trabajo en cualquier empresa.</w:t>
      </w:r>
    </w:p>
    <w:p w:rsidR="006A1D5E" w:rsidRPr="006A1D5E" w:rsidRDefault="006A1D5E" w:rsidP="006A1D5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6A1D5E">
        <w:rPr>
          <w:rFonts w:ascii="Arial" w:eastAsia="Times New Roman" w:hAnsi="Arial" w:cs="Arial"/>
          <w:color w:val="2D2D2D"/>
          <w:sz w:val="24"/>
          <w:szCs w:val="24"/>
          <w:lang w:val="es-UY" w:eastAsia="es-UY"/>
        </w:rPr>
        <w:t>La carga doméstica es la causa principal de abandono de las mujeres del mercado laboral remunerado, porque al considerarse su ingreso como marginal y suplementario al del hombre, abandonan cuando la situación de cuidados aprieta (si no ha sucedido incluso antes, justo al emparejarse o casarse, porque “acuerdan” con el hombre que ella tendrá un rol más activo con la crianza de los hijos en el hogar y él será el responsable de la provisión).</w:t>
      </w:r>
    </w:p>
    <w:p w:rsidR="006A1D5E" w:rsidRPr="006A1D5E" w:rsidRDefault="006A1D5E" w:rsidP="006A1D5E">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6A1D5E">
        <w:rPr>
          <w:rFonts w:ascii="inherit" w:eastAsia="Times New Roman" w:hAnsi="inherit" w:cs="Arial"/>
          <w:b/>
          <w:bCs/>
          <w:color w:val="2D2D2D"/>
          <w:sz w:val="24"/>
          <w:szCs w:val="24"/>
          <w:bdr w:val="none" w:sz="0" w:space="0" w:color="auto" w:frame="1"/>
          <w:lang w:val="es-UY" w:eastAsia="es-UY"/>
        </w:rPr>
        <w:t>“Trabajo sexual”</w:t>
      </w:r>
    </w:p>
    <w:p w:rsidR="006A1D5E" w:rsidRPr="006A1D5E" w:rsidRDefault="006A1D5E" w:rsidP="006A1D5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6A1D5E">
        <w:rPr>
          <w:rFonts w:ascii="Arial" w:eastAsia="Times New Roman" w:hAnsi="Arial" w:cs="Arial"/>
          <w:color w:val="2D2D2D"/>
          <w:sz w:val="24"/>
          <w:szCs w:val="24"/>
          <w:lang w:val="es-UY" w:eastAsia="es-UY"/>
        </w:rPr>
        <w:t>Al igual que el trabajo doméstico, la prostitución ejercido en dominio mayoritario por mujeres pobres. Lugares comunes como “la más vieja profesión de la historia” parecieran asumir la “normalidad” de su práctica y los enfoques menos rigurosos pueden entender que seguirá sucediendo y que, asumiéndolo, es preferible protegerlas con instituciones laborales.</w:t>
      </w:r>
    </w:p>
    <w:p w:rsidR="006A1D5E" w:rsidRPr="006A1D5E" w:rsidRDefault="006A1D5E" w:rsidP="006A1D5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6A1D5E">
        <w:rPr>
          <w:rFonts w:ascii="Arial" w:eastAsia="Times New Roman" w:hAnsi="Arial" w:cs="Arial"/>
          <w:color w:val="2D2D2D"/>
          <w:sz w:val="24"/>
          <w:szCs w:val="24"/>
          <w:lang w:val="es-UY" w:eastAsia="es-UY"/>
        </w:rPr>
        <w:lastRenderedPageBreak/>
        <w:t xml:space="preserve">Yo creo que la sociedad debe asumir que la prostitución no es una “profesión”. Además, asumir que se puede ejercer “por cuenta ajena”, es decir, asalariada para un patrono (proxeneta) que cobra por los servicios y ofrece “beneficios típicos de la labor” a sus empleadas, resulta como mínimo, un ejercicio de complacencia </w:t>
      </w:r>
      <w:proofErr w:type="gramStart"/>
      <w:r w:rsidRPr="006A1D5E">
        <w:rPr>
          <w:rFonts w:ascii="Arial" w:eastAsia="Times New Roman" w:hAnsi="Arial" w:cs="Arial"/>
          <w:color w:val="2D2D2D"/>
          <w:sz w:val="24"/>
          <w:szCs w:val="24"/>
          <w:lang w:val="es-UY" w:eastAsia="es-UY"/>
        </w:rPr>
        <w:t>socio-cultural</w:t>
      </w:r>
      <w:proofErr w:type="gramEnd"/>
      <w:r w:rsidRPr="006A1D5E">
        <w:rPr>
          <w:rFonts w:ascii="Arial" w:eastAsia="Times New Roman" w:hAnsi="Arial" w:cs="Arial"/>
          <w:color w:val="2D2D2D"/>
          <w:sz w:val="24"/>
          <w:szCs w:val="24"/>
          <w:lang w:val="es-UY" w:eastAsia="es-UY"/>
        </w:rPr>
        <w:t> ante la barbarie. Yo comparto que una mujer haga con su sexualidad lo que le apetezca. Pero no si cobra por la actividad sexual derivada de una situación de violencia que deberíamos atacar.</w:t>
      </w:r>
    </w:p>
    <w:p w:rsidR="006A1D5E" w:rsidRPr="006A1D5E" w:rsidRDefault="006A1D5E" w:rsidP="006A1D5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6A1D5E">
        <w:rPr>
          <w:rFonts w:ascii="Arial" w:eastAsia="Times New Roman" w:hAnsi="Arial" w:cs="Arial"/>
          <w:color w:val="2D2D2D"/>
          <w:sz w:val="24"/>
          <w:szCs w:val="24"/>
          <w:lang w:val="es-UY" w:eastAsia="es-UY"/>
        </w:rPr>
        <w:t>El hecho de que sean mujeres la mayor parte de las “trabajadoras” en esta actividad indica que tenemos un problema educativo profundo sobre la manera de entender la sexualidad (y las relaciones de poder que la acompañan) y la manera de construir prácticas de interacción más saludables. La mayor parte de las mujeres que ocasional o permanentemente dedican su vida a la prostitución no han tenido posibilidades y alternativas razonables para gestionar su propia sobrevivencia de otro modo.</w:t>
      </w:r>
    </w:p>
    <w:p w:rsidR="006A1D5E" w:rsidRPr="006A1D5E" w:rsidRDefault="006A1D5E" w:rsidP="006A1D5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6A1D5E">
        <w:rPr>
          <w:rFonts w:ascii="Arial" w:eastAsia="Times New Roman" w:hAnsi="Arial" w:cs="Arial"/>
          <w:color w:val="2D2D2D"/>
          <w:sz w:val="24"/>
          <w:szCs w:val="24"/>
          <w:lang w:val="es-UY" w:eastAsia="es-UY"/>
        </w:rPr>
        <w:t>Que hombres en la misma situación socio económica y socio educativa concluyan en actividades diferentes es paradigmático. Más allá de proteger con todas las herramientas posibles a las mujeres que se exponen a los enormes riesgos de este tipo de vida, la sociedad debería aceptar el compromiso de limitar al máximo cada uno de los elementos económicos, sociales y culturales que promueven el sexo como servicio comercializable y laboralmente explotable.</w:t>
      </w:r>
    </w:p>
    <w:p w:rsidR="006A1D5E" w:rsidRDefault="006A1D5E" w:rsidP="006A1D5E">
      <w:pPr>
        <w:shd w:val="clear" w:color="auto" w:fill="FFFFFF"/>
        <w:spacing w:after="0" w:line="240" w:lineRule="auto"/>
        <w:jc w:val="both"/>
        <w:textAlignment w:val="baseline"/>
        <w:rPr>
          <w:rFonts w:ascii="inherit" w:eastAsia="Times New Roman" w:hAnsi="inherit" w:cs="Arial"/>
          <w:b/>
          <w:bCs/>
          <w:color w:val="2D2D2D"/>
          <w:sz w:val="24"/>
          <w:szCs w:val="24"/>
          <w:bdr w:val="none" w:sz="0" w:space="0" w:color="auto" w:frame="1"/>
          <w:lang w:val="es-UY" w:eastAsia="es-UY"/>
        </w:rPr>
      </w:pPr>
      <w:r w:rsidRPr="006A1D5E">
        <w:rPr>
          <w:rFonts w:ascii="inherit" w:eastAsia="Times New Roman" w:hAnsi="inherit" w:cs="Arial"/>
          <w:b/>
          <w:bCs/>
          <w:color w:val="2D2D2D"/>
          <w:sz w:val="24"/>
          <w:szCs w:val="24"/>
          <w:bdr w:val="none" w:sz="0" w:space="0" w:color="auto" w:frame="1"/>
          <w:lang w:val="es-UY" w:eastAsia="es-UY"/>
        </w:rPr>
        <w:t>Viejos y nuevos anhelos en este 1º de mayo</w:t>
      </w:r>
    </w:p>
    <w:p w:rsidR="006A1D5E" w:rsidRPr="006A1D5E" w:rsidRDefault="006A1D5E" w:rsidP="006A1D5E">
      <w:pPr>
        <w:shd w:val="clear" w:color="auto" w:fill="FFFFFF"/>
        <w:spacing w:after="0" w:line="240" w:lineRule="auto"/>
        <w:jc w:val="both"/>
        <w:textAlignment w:val="baseline"/>
        <w:rPr>
          <w:rFonts w:ascii="Arial" w:eastAsia="Times New Roman" w:hAnsi="Arial" w:cs="Arial"/>
          <w:color w:val="2D2D2D"/>
          <w:sz w:val="24"/>
          <w:szCs w:val="24"/>
          <w:lang w:val="es-UY" w:eastAsia="es-UY"/>
        </w:rPr>
      </w:pPr>
    </w:p>
    <w:p w:rsidR="006A1D5E" w:rsidRPr="006A1D5E" w:rsidRDefault="006A1D5E" w:rsidP="006A1D5E">
      <w:pPr>
        <w:numPr>
          <w:ilvl w:val="0"/>
          <w:numId w:val="1"/>
        </w:numPr>
        <w:shd w:val="clear" w:color="auto" w:fill="FFFFFF"/>
        <w:spacing w:after="0" w:line="240" w:lineRule="auto"/>
        <w:ind w:left="600"/>
        <w:jc w:val="both"/>
        <w:textAlignment w:val="baseline"/>
        <w:rPr>
          <w:rFonts w:ascii="Arial" w:eastAsia="Times New Roman" w:hAnsi="Arial" w:cs="Arial"/>
          <w:color w:val="2D2D2D"/>
          <w:sz w:val="24"/>
          <w:szCs w:val="24"/>
          <w:lang w:val="es-UY" w:eastAsia="es-UY"/>
        </w:rPr>
      </w:pPr>
      <w:r w:rsidRPr="006A1D5E">
        <w:rPr>
          <w:rFonts w:ascii="Arial" w:eastAsia="Times New Roman" w:hAnsi="Arial" w:cs="Arial"/>
          <w:color w:val="2D2D2D"/>
          <w:sz w:val="24"/>
          <w:szCs w:val="24"/>
          <w:lang w:val="es-UY" w:eastAsia="es-UY"/>
        </w:rPr>
        <w:t>Menos limitaciones corporativas para el acceso, permanencia y desarrollo pleno de poder de la mujer en la empresa.</w:t>
      </w:r>
    </w:p>
    <w:p w:rsidR="006A1D5E" w:rsidRPr="006A1D5E" w:rsidRDefault="006A1D5E" w:rsidP="006A1D5E">
      <w:pPr>
        <w:numPr>
          <w:ilvl w:val="0"/>
          <w:numId w:val="1"/>
        </w:numPr>
        <w:shd w:val="clear" w:color="auto" w:fill="FFFFFF"/>
        <w:spacing w:after="0" w:line="240" w:lineRule="auto"/>
        <w:ind w:left="600"/>
        <w:jc w:val="both"/>
        <w:textAlignment w:val="baseline"/>
        <w:rPr>
          <w:rFonts w:ascii="Arial" w:eastAsia="Times New Roman" w:hAnsi="Arial" w:cs="Arial"/>
          <w:color w:val="2D2D2D"/>
          <w:sz w:val="24"/>
          <w:szCs w:val="24"/>
          <w:lang w:val="es-UY" w:eastAsia="es-UY"/>
        </w:rPr>
      </w:pPr>
      <w:r w:rsidRPr="006A1D5E">
        <w:rPr>
          <w:rFonts w:ascii="Arial" w:eastAsia="Times New Roman" w:hAnsi="Arial" w:cs="Arial"/>
          <w:color w:val="2D2D2D"/>
          <w:sz w:val="24"/>
          <w:szCs w:val="24"/>
          <w:lang w:val="es-UY" w:eastAsia="es-UY"/>
        </w:rPr>
        <w:t>Más conciliación laboral-familiar y mejores medidas para adecuar el mercado de servicios domésticos, hasta el punto en sea servido en las mismas proporciones por hombres y mujeres y sea protegido como cualquier espacio laboral.</w:t>
      </w:r>
    </w:p>
    <w:p w:rsidR="006A1D5E" w:rsidRDefault="006A1D5E" w:rsidP="006A1D5E">
      <w:pPr>
        <w:numPr>
          <w:ilvl w:val="0"/>
          <w:numId w:val="1"/>
        </w:numPr>
        <w:shd w:val="clear" w:color="auto" w:fill="FFFFFF"/>
        <w:spacing w:after="0" w:line="240" w:lineRule="auto"/>
        <w:ind w:left="600"/>
        <w:jc w:val="both"/>
        <w:textAlignment w:val="baseline"/>
        <w:rPr>
          <w:rFonts w:ascii="Arial" w:eastAsia="Times New Roman" w:hAnsi="Arial" w:cs="Arial"/>
          <w:color w:val="2D2D2D"/>
          <w:sz w:val="24"/>
          <w:szCs w:val="24"/>
          <w:lang w:val="es-UY" w:eastAsia="es-UY"/>
        </w:rPr>
      </w:pPr>
      <w:r w:rsidRPr="006A1D5E">
        <w:rPr>
          <w:rFonts w:ascii="Arial" w:eastAsia="Times New Roman" w:hAnsi="Arial" w:cs="Arial"/>
          <w:color w:val="2D2D2D"/>
          <w:sz w:val="24"/>
          <w:szCs w:val="24"/>
          <w:lang w:val="es-UY" w:eastAsia="es-UY"/>
        </w:rPr>
        <w:t>Más honestidad y ambición social para transformar los parámetros sociales, económicos y culturales que promueven la cultura de mujer como objeto sexual, el hombre como animal a satisfacer con cuerpos receptores de sus “embestidas” y mercantilización de una práctica intrínseca de nuestra condición vital y de una emocionalidad sana, el sexo.</w:t>
      </w:r>
    </w:p>
    <w:p w:rsidR="006A1D5E" w:rsidRPr="006A1D5E" w:rsidRDefault="006A1D5E" w:rsidP="006A1D5E">
      <w:pPr>
        <w:shd w:val="clear" w:color="auto" w:fill="FFFFFF"/>
        <w:spacing w:after="0" w:line="240" w:lineRule="auto"/>
        <w:ind w:left="600"/>
        <w:jc w:val="both"/>
        <w:textAlignment w:val="baseline"/>
        <w:rPr>
          <w:rFonts w:ascii="Arial" w:eastAsia="Times New Roman" w:hAnsi="Arial" w:cs="Arial"/>
          <w:color w:val="2D2D2D"/>
          <w:sz w:val="24"/>
          <w:szCs w:val="24"/>
          <w:lang w:val="es-UY" w:eastAsia="es-UY"/>
        </w:rPr>
      </w:pPr>
    </w:p>
    <w:p w:rsidR="006A1D5E" w:rsidRPr="006A1D5E" w:rsidRDefault="006A1D5E" w:rsidP="006A1D5E">
      <w:pPr>
        <w:shd w:val="clear" w:color="auto" w:fill="FFFFFF"/>
        <w:spacing w:after="0" w:line="240" w:lineRule="auto"/>
        <w:textAlignment w:val="baseline"/>
        <w:rPr>
          <w:rFonts w:ascii="Arial" w:eastAsia="Times New Roman" w:hAnsi="Arial" w:cs="Arial"/>
          <w:color w:val="2D2D2D"/>
          <w:sz w:val="24"/>
          <w:szCs w:val="24"/>
          <w:lang w:val="es-UY" w:eastAsia="es-UY"/>
        </w:rPr>
      </w:pPr>
      <w:r w:rsidRPr="006A1D5E">
        <w:rPr>
          <w:rFonts w:ascii="inherit" w:eastAsia="Times New Roman" w:hAnsi="inherit" w:cs="Arial"/>
          <w:b/>
          <w:bCs/>
          <w:color w:val="2D2D2D"/>
          <w:sz w:val="24"/>
          <w:szCs w:val="24"/>
          <w:bdr w:val="none" w:sz="0" w:space="0" w:color="auto" w:frame="1"/>
          <w:lang w:val="es-UY" w:eastAsia="es-UY"/>
        </w:rPr>
        <w:t>Fuente: Efecto Cocuyo</w:t>
      </w:r>
    </w:p>
    <w:p w:rsidR="002E2F5B" w:rsidRDefault="002E2F5B"/>
    <w:p w:rsidR="006A1D5E" w:rsidRDefault="006A1D5E">
      <w:hyperlink r:id="rId6" w:history="1">
        <w:r>
          <w:rPr>
            <w:rStyle w:val="Hipervnculo"/>
          </w:rPr>
          <w:t>https://revistasic.gumilla.org/2019/viejos-y-nuevos-anhelos-en-este-primero-de-mayo/</w:t>
        </w:r>
      </w:hyperlink>
      <w:bookmarkStart w:id="0" w:name="_GoBack"/>
      <w:bookmarkEnd w:id="0"/>
    </w:p>
    <w:sectPr w:rsidR="006A1D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80081"/>
    <w:multiLevelType w:val="multilevel"/>
    <w:tmpl w:val="E6E22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5E"/>
    <w:rsid w:val="002E2F5B"/>
    <w:rsid w:val="006A1D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88A9"/>
  <w15:chartTrackingRefBased/>
  <w15:docId w15:val="{CC34E2FC-1D49-47C7-B8A8-069779FD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A1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00003">
      <w:bodyDiv w:val="1"/>
      <w:marLeft w:val="0"/>
      <w:marRight w:val="0"/>
      <w:marTop w:val="0"/>
      <w:marBottom w:val="0"/>
      <w:divBdr>
        <w:top w:val="none" w:sz="0" w:space="0" w:color="auto"/>
        <w:left w:val="none" w:sz="0" w:space="0" w:color="auto"/>
        <w:bottom w:val="none" w:sz="0" w:space="0" w:color="auto"/>
        <w:right w:val="none" w:sz="0" w:space="0" w:color="auto"/>
      </w:divBdr>
      <w:divsChild>
        <w:div w:id="522481740">
          <w:marLeft w:val="0"/>
          <w:marRight w:val="0"/>
          <w:marTop w:val="0"/>
          <w:marBottom w:val="105"/>
          <w:divBdr>
            <w:top w:val="none" w:sz="0" w:space="0" w:color="auto"/>
            <w:left w:val="none" w:sz="0" w:space="0" w:color="auto"/>
            <w:bottom w:val="none" w:sz="0" w:space="0" w:color="auto"/>
            <w:right w:val="none" w:sz="0" w:space="0" w:color="auto"/>
          </w:divBdr>
          <w:divsChild>
            <w:div w:id="883374862">
              <w:marLeft w:val="0"/>
              <w:marRight w:val="0"/>
              <w:marTop w:val="0"/>
              <w:marBottom w:val="105"/>
              <w:divBdr>
                <w:top w:val="none" w:sz="0" w:space="0" w:color="auto"/>
                <w:left w:val="none" w:sz="0" w:space="0" w:color="auto"/>
                <w:bottom w:val="none" w:sz="0" w:space="0" w:color="auto"/>
                <w:right w:val="none" w:sz="0" w:space="0" w:color="auto"/>
              </w:divBdr>
            </w:div>
          </w:divsChild>
        </w:div>
        <w:div w:id="131213774">
          <w:marLeft w:val="0"/>
          <w:marRight w:val="0"/>
          <w:marTop w:val="0"/>
          <w:marBottom w:val="0"/>
          <w:divBdr>
            <w:top w:val="none" w:sz="0" w:space="0" w:color="auto"/>
            <w:left w:val="none" w:sz="0" w:space="0" w:color="auto"/>
            <w:bottom w:val="none" w:sz="0" w:space="0" w:color="auto"/>
            <w:right w:val="none" w:sz="0" w:space="0" w:color="auto"/>
          </w:divBdr>
          <w:divsChild>
            <w:div w:id="1119953840">
              <w:marLeft w:val="0"/>
              <w:marRight w:val="300"/>
              <w:marTop w:val="96"/>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stasic.gumilla.org/2019/viejos-y-nuevos-anhelos-en-este-primero-de-may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6095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2019-05-03T16:35:00Z</dcterms:created>
  <dcterms:modified xsi:type="dcterms:W3CDTF">2019-05-03T16:36:00Z</dcterms:modified>
</cp:coreProperties>
</file>