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FD3" w:rsidRPr="00107FD3" w:rsidRDefault="00107FD3" w:rsidP="00107FD3">
      <w:pPr>
        <w:shd w:val="clear" w:color="auto" w:fill="FFFFFF"/>
        <w:spacing w:after="420" w:line="405" w:lineRule="atLeast"/>
        <w:jc w:val="center"/>
        <w:outlineLvl w:val="0"/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</w:pPr>
      <w:r w:rsidRPr="00107FD3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 xml:space="preserve">Lógica do poder – Frei </w:t>
      </w:r>
      <w:proofErr w:type="spellStart"/>
      <w:r w:rsidRPr="00107FD3">
        <w:rPr>
          <w:rFonts w:ascii="muli" w:eastAsia="Times New Roman" w:hAnsi="muli" w:cs="Times New Roman"/>
          <w:b/>
          <w:bCs/>
          <w:color w:val="607D8B"/>
          <w:kern w:val="36"/>
          <w:sz w:val="36"/>
          <w:szCs w:val="36"/>
          <w:lang w:val="es-UY" w:eastAsia="es-UY"/>
        </w:rPr>
        <w:t>Betto</w:t>
      </w:r>
      <w:proofErr w:type="spellEnd"/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observação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Voltaire (1694-1778)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ressalta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que tantas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emitem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ofensas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redes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digitais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assim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revelam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mais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respeito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próprio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caráter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que do perfil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é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desrespeitado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 </w:t>
      </w:r>
      <w:r w:rsidRPr="00107FD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“</w:t>
      </w:r>
      <w:proofErr w:type="spellStart"/>
      <w:r w:rsidRPr="00107FD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Ninguém</w:t>
      </w:r>
      <w:proofErr w:type="spellEnd"/>
      <w:r w:rsidRPr="00107FD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107FD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envergonha</w:t>
      </w:r>
      <w:proofErr w:type="spellEnd"/>
      <w:r w:rsidRPr="00107FD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do que faz em conjunto”</w:t>
      </w:r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escreveu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“Deus e os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homens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”.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explica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insanidade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linchamentos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virtuais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violência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gerada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preconceito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como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demonstra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filme “Infiltrado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Klan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”,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Spike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Lee, vencedor do Oscar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melhor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roteiro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adaptado em 2019.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Muitos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nós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jamais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ofenderíamos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pessoalmente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interlocutor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injúrias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palavrões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No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entanto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seja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capaz de replicar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redes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digitais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ofensas a inúmeras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sequer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dar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trabalho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apurar se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informação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procede.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 humano é dada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capacidade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discernimento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atributo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lhe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permite 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exercício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liberdade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contudo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prefira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abdicar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desse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direito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optar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livremente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Prefere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deixar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as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decisões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sejam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tomadas pelo líder,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guru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mentor do grupo social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qual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pessoa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identifica. Opta pela</w:t>
      </w:r>
      <w:r w:rsidRPr="00107FD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 “</w:t>
      </w:r>
      <w:proofErr w:type="spellStart"/>
      <w:r w:rsidRPr="00107FD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servidão</w:t>
      </w:r>
      <w:proofErr w:type="spellEnd"/>
      <w:r w:rsidRPr="00107FD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voluntária</w:t>
      </w:r>
      <w:proofErr w:type="spellEnd"/>
      <w:r w:rsidRPr="00107FD3">
        <w:rPr>
          <w:rFonts w:ascii="Open Sans" w:eastAsia="Times New Roman" w:hAnsi="Open Sans" w:cs="Times New Roman"/>
          <w:i/>
          <w:iCs/>
          <w:color w:val="4F4F4F"/>
          <w:sz w:val="28"/>
          <w:szCs w:val="28"/>
          <w:lang w:val="es-UY" w:eastAsia="es-UY"/>
        </w:rPr>
        <w:t>”,</w:t>
      </w:r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 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expressão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La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Boétie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(1530-1563). E todos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comungam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credo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considerados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inimigos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hereges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traidores, 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varridos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face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Terra.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submissão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si à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vontade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ocorre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partidos políticos, empresas,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associações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sobretudo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em segmentos religiosos. No caso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Igrejas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dominação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ideológica é legitimada pela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suposta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vontade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Deus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ecoada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pela voz do pastor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padre.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Assim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difunde-se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perigosa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teodiceia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pela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qual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tudo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explica pela lógica divina,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a humana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consiga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digeri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-la.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Se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catástrofe como a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Brumadinho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se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estou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desempregado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se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perco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filho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atingido por bala “perdida”,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devo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protestar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lamentar. Deus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tinha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algo em mente para permitir </w:t>
      </w:r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 xml:space="preserve">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tais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desgraças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acontecessem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Assim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teodiceia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transforma em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panaceia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É o recurso da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apatia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como anestesia da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consciência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exemplo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paradigmático é 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extermínio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vítimas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nazismo.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ordem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genocida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saía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cabeça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tresloucado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 sim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tinha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plena (e tranquila)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consciência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fazia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como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demonstrou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Hannah Arendt.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ordem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inicial se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desdobrava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sequência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dirigia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caminhão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até 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alojamento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presos;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encaminhava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veículo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;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ordenava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despirem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distribuía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toalhas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sabão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;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apertava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botão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vermelho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; e, por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grupo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retirava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corpos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câmara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gás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menor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ideia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foram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mortos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Processo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confirmado pela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descoberta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em 1980, dos relatos escritos pelo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grego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Marcel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Nadjari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guardados no interior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garrafa térmica enterrada no solo de Auschwitz, onde ele,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prisioneiro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fazia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parte do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Sonderkommando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a equipe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retirava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os cadáveres das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câmaras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gás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(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cf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: https://www.bbc.com/portuguese/internacional-42193700).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repete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hoje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instituições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controlam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mercado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financeiro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mundial, como o FMI e o Banco Mundial.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propor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ajustes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fiscais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austeridade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teto de gastos a países periféricos,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seus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oráculos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movidos por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sentimento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maldade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para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povos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verão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agravada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situação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pobreza. Eles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seguem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lógica do sistema: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esses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países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tomaram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dinheiro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emprestado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credores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nacionais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internacionais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e,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agora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precisam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honrar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suas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dívidas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.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Ainda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signifique aumento da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mortalidade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infantil </w:t>
      </w:r>
      <w:proofErr w:type="gram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</w:t>
      </w:r>
      <w:proofErr w:type="gram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desemprego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lógica do poder,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sempre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leva em conta os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direitos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dos subalternos.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Isso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vale para os casos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feminicídio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nos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quais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homem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agride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mulher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; dos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neonazistas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odeiam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negros 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judeus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; dos internautas que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vociferaram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porque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Justiça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permitiu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que Lula,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prisioneiro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,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comparecesse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ao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sepultamento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do neto.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lastRenderedPageBreak/>
        <w:t xml:space="preserve">Como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frisou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Bachelard (1884-1962), “quanta amargura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há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no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coração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um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ser que a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doçura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corrói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.”</w:t>
      </w:r>
    </w:p>
    <w:p w:rsidR="00107FD3" w:rsidRPr="00107FD3" w:rsidRDefault="00107FD3" w:rsidP="00107FD3">
      <w:pPr>
        <w:shd w:val="clear" w:color="auto" w:fill="FFFFFF"/>
        <w:spacing w:after="300" w:line="240" w:lineRule="auto"/>
        <w:jc w:val="both"/>
        <w:rPr>
          <w:rFonts w:ascii="Open Sans" w:eastAsia="Times New Roman" w:hAnsi="Open Sans" w:cs="Times New Roman"/>
          <w:color w:val="4F4F4F"/>
          <w:sz w:val="21"/>
          <w:szCs w:val="21"/>
          <w:lang w:val="es-UY" w:eastAsia="es-UY"/>
        </w:rPr>
      </w:pPr>
      <w:r w:rsidRPr="00107FD3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 xml:space="preserve">Frei </w:t>
      </w:r>
      <w:proofErr w:type="spellStart"/>
      <w:r w:rsidRPr="00107FD3">
        <w:rPr>
          <w:rFonts w:ascii="Open Sans" w:eastAsia="Times New Roman" w:hAnsi="Open Sans" w:cs="Times New Roman"/>
          <w:b/>
          <w:bCs/>
          <w:color w:val="4F4F4F"/>
          <w:sz w:val="28"/>
          <w:szCs w:val="28"/>
          <w:lang w:val="es-UY" w:eastAsia="es-UY"/>
        </w:rPr>
        <w:t>Betto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 é escritor, autor de “A arte de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semear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estrelas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” (Rocco), entre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outros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 xml:space="preserve"> </w:t>
      </w:r>
      <w:proofErr w:type="spellStart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livros</w:t>
      </w:r>
      <w:proofErr w:type="spellEnd"/>
      <w:r w:rsidRPr="00107FD3">
        <w:rPr>
          <w:rFonts w:ascii="Open Sans" w:eastAsia="Times New Roman" w:hAnsi="Open Sans" w:cs="Times New Roman"/>
          <w:color w:val="4F4F4F"/>
          <w:sz w:val="28"/>
          <w:szCs w:val="28"/>
          <w:lang w:val="es-UY" w:eastAsia="es-UY"/>
        </w:rPr>
        <w:t>.</w:t>
      </w:r>
    </w:p>
    <w:p w:rsidR="002E2F5B" w:rsidRDefault="00107FD3">
      <w:hyperlink r:id="rId4" w:history="1">
        <w:r>
          <w:rPr>
            <w:rStyle w:val="Hipervnculo"/>
          </w:rPr>
          <w:t>https://ceseep.org.br/logica-do-poder-frei-betto/</w:t>
        </w:r>
      </w:hyperlink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FD3"/>
    <w:rsid w:val="00107FD3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73C67-EB06-407A-B499-4EE6AA10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7F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seep.org.br/logica-do-poder-frei-bett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2019-04-15T14:56:00Z</dcterms:created>
  <dcterms:modified xsi:type="dcterms:W3CDTF">2019-04-15T14:57:00Z</dcterms:modified>
</cp:coreProperties>
</file>