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2B8" w:rsidRPr="007D12B8" w:rsidRDefault="007D12B8" w:rsidP="007D12B8">
      <w:pPr>
        <w:spacing w:after="300" w:line="276" w:lineRule="auto"/>
        <w:jc w:val="center"/>
        <w:outlineLvl w:val="0"/>
        <w:rPr>
          <w:rFonts w:ascii="Arial Narrow" w:eastAsia="Times New Roman" w:hAnsi="Arial Narrow" w:cs="Times New Roman"/>
          <w:b/>
          <w:bCs/>
          <w:kern w:val="36"/>
          <w:sz w:val="28"/>
          <w:szCs w:val="28"/>
          <w:lang w:eastAsia="es-UY"/>
        </w:rPr>
      </w:pPr>
      <w:bookmarkStart w:id="0" w:name="_GoBack"/>
      <w:bookmarkEnd w:id="0"/>
      <w:r w:rsidRPr="007D12B8">
        <w:rPr>
          <w:rFonts w:ascii="Arial Narrow" w:eastAsia="Times New Roman" w:hAnsi="Arial Narrow" w:cs="Times New Roman"/>
          <w:b/>
          <w:bCs/>
          <w:kern w:val="36"/>
          <w:sz w:val="28"/>
          <w:szCs w:val="28"/>
          <w:lang w:eastAsia="es-UY"/>
        </w:rPr>
        <w:t>La fortuna de los milmillonarios creció a un ritmo de 2500 millones de dólares al día el año pasado, mientras que la mitad más pobre de la población mundial se empobreció aún más</w:t>
      </w:r>
    </w:p>
    <w:p w:rsidR="007D12B8" w:rsidRPr="007D12B8" w:rsidRDefault="007D12B8" w:rsidP="007D12B8">
      <w:pPr>
        <w:spacing w:after="0" w:line="276" w:lineRule="auto"/>
        <w:jc w:val="both"/>
        <w:rPr>
          <w:rFonts w:ascii="Arial Narrow" w:eastAsia="Times New Roman" w:hAnsi="Arial Narrow" w:cs="Times New Roman"/>
          <w:sz w:val="24"/>
          <w:szCs w:val="24"/>
          <w:lang w:eastAsia="es-UY"/>
        </w:rPr>
      </w:pPr>
      <w:r w:rsidRPr="007D12B8">
        <w:rPr>
          <w:rFonts w:ascii="Arial Narrow" w:eastAsia="Times New Roman" w:hAnsi="Arial Narrow" w:cs="Times New Roman"/>
          <w:sz w:val="24"/>
          <w:szCs w:val="24"/>
          <w:lang w:eastAsia="es-UY"/>
        </w:rPr>
        <w:t>Publicado: </w:t>
      </w:r>
    </w:p>
    <w:p w:rsidR="007D12B8" w:rsidRPr="007D12B8" w:rsidRDefault="007D12B8" w:rsidP="007D12B8">
      <w:pPr>
        <w:spacing w:after="0" w:line="276" w:lineRule="auto"/>
        <w:jc w:val="both"/>
        <w:rPr>
          <w:rFonts w:ascii="Arial Narrow" w:eastAsia="Times New Roman" w:hAnsi="Arial Narrow" w:cs="Times New Roman"/>
          <w:sz w:val="24"/>
          <w:szCs w:val="24"/>
          <w:lang w:eastAsia="es-UY"/>
        </w:rPr>
      </w:pPr>
      <w:r w:rsidRPr="007D12B8">
        <w:rPr>
          <w:rFonts w:ascii="Arial Narrow" w:eastAsia="Times New Roman" w:hAnsi="Arial Narrow" w:cs="Times New Roman"/>
          <w:sz w:val="24"/>
          <w:szCs w:val="24"/>
          <w:lang w:eastAsia="es-UY"/>
        </w:rPr>
        <w:t>21 enero 2019</w:t>
      </w:r>
    </w:p>
    <w:p w:rsidR="007D12B8" w:rsidRDefault="007D12B8" w:rsidP="007D12B8">
      <w:pPr>
        <w:spacing w:after="0" w:line="276" w:lineRule="auto"/>
        <w:jc w:val="both"/>
        <w:rPr>
          <w:rFonts w:ascii="Arial Narrow" w:eastAsia="Times New Roman" w:hAnsi="Arial Narrow" w:cs="Times New Roman"/>
          <w:sz w:val="24"/>
          <w:szCs w:val="24"/>
          <w:lang w:eastAsia="es-UY"/>
        </w:rPr>
      </w:pPr>
    </w:p>
    <w:p w:rsidR="007D12B8" w:rsidRDefault="007D12B8" w:rsidP="007D12B8">
      <w:pPr>
        <w:spacing w:after="0" w:line="276" w:lineRule="auto"/>
        <w:jc w:val="both"/>
        <w:rPr>
          <w:rFonts w:ascii="Arial Narrow" w:eastAsia="Times New Roman" w:hAnsi="Arial Narrow" w:cs="Times New Roman"/>
          <w:sz w:val="24"/>
          <w:szCs w:val="24"/>
          <w:lang w:eastAsia="es-UY"/>
        </w:rPr>
      </w:pPr>
    </w:p>
    <w:p w:rsidR="007D12B8" w:rsidRPr="007D12B8" w:rsidRDefault="007D12B8" w:rsidP="007D12B8">
      <w:pPr>
        <w:spacing w:after="0" w:line="276" w:lineRule="auto"/>
        <w:jc w:val="both"/>
        <w:rPr>
          <w:rFonts w:ascii="Arial Narrow" w:eastAsia="Times New Roman" w:hAnsi="Arial Narrow" w:cs="Times New Roman"/>
          <w:sz w:val="24"/>
          <w:szCs w:val="24"/>
          <w:lang w:eastAsia="es-UY"/>
        </w:rPr>
      </w:pPr>
      <w:r w:rsidRPr="007D12B8">
        <w:rPr>
          <w:rFonts w:ascii="Arial Narrow" w:eastAsia="Times New Roman" w:hAnsi="Arial Narrow" w:cs="Times New Roman"/>
          <w:sz w:val="24"/>
          <w:szCs w:val="24"/>
          <w:lang w:eastAsia="es-UY"/>
        </w:rPr>
        <w:t>Un nuevo informe de Oxfam publicado hoy revela que la fortuna de los milmillonarios aumentó en un 12% en el último año, es decir, 2500 millones de dólares diarios, mientras la riqueza de la mitad más pobre de la población mundial, que equivale a 3800 millones de personas, se redujo en un 11%. La publicación del informe coincide con el </w:t>
      </w:r>
      <w:hyperlink r:id="rId5" w:history="1">
        <w:r w:rsidRPr="007D12B8">
          <w:rPr>
            <w:rFonts w:ascii="Arial Narrow" w:eastAsia="Times New Roman" w:hAnsi="Arial Narrow" w:cs="Times New Roman"/>
            <w:sz w:val="24"/>
            <w:szCs w:val="24"/>
            <w:u w:val="single"/>
            <w:lang w:eastAsia="es-UY"/>
          </w:rPr>
          <w:t>Foro Económico Mundial de Davos</w:t>
        </w:r>
      </w:hyperlink>
      <w:r w:rsidRPr="007D12B8">
        <w:rPr>
          <w:rFonts w:ascii="Arial Narrow" w:eastAsia="Times New Roman" w:hAnsi="Arial Narrow" w:cs="Times New Roman"/>
          <w:sz w:val="24"/>
          <w:szCs w:val="24"/>
          <w:lang w:eastAsia="es-UY"/>
        </w:rPr>
        <w:t>, en Suiza, donde se reúnen los líderes políticos y económicos.</w:t>
      </w:r>
    </w:p>
    <w:p w:rsidR="007D12B8" w:rsidRPr="007D12B8" w:rsidRDefault="007D12B8" w:rsidP="007D12B8">
      <w:pPr>
        <w:spacing w:after="0" w:line="276" w:lineRule="auto"/>
        <w:jc w:val="both"/>
        <w:rPr>
          <w:rFonts w:ascii="Arial Narrow" w:eastAsia="Times New Roman" w:hAnsi="Arial Narrow" w:cs="Times New Roman"/>
          <w:sz w:val="24"/>
          <w:szCs w:val="24"/>
          <w:lang w:eastAsia="es-UY"/>
        </w:rPr>
      </w:pPr>
      <w:r w:rsidRPr="007D12B8">
        <w:rPr>
          <w:rFonts w:ascii="Arial Narrow" w:eastAsia="Times New Roman" w:hAnsi="Arial Narrow" w:cs="Times New Roman"/>
          <w:sz w:val="24"/>
          <w:szCs w:val="24"/>
          <w:lang w:eastAsia="es-UY"/>
        </w:rPr>
        <w:t> </w:t>
      </w:r>
    </w:p>
    <w:p w:rsidR="007D12B8" w:rsidRPr="007D12B8" w:rsidRDefault="007D12B8" w:rsidP="007D12B8">
      <w:pPr>
        <w:spacing w:after="0" w:line="276" w:lineRule="auto"/>
        <w:jc w:val="both"/>
        <w:rPr>
          <w:rFonts w:ascii="Arial Narrow" w:eastAsia="Times New Roman" w:hAnsi="Arial Narrow" w:cs="Times New Roman"/>
          <w:sz w:val="24"/>
          <w:szCs w:val="24"/>
          <w:lang w:eastAsia="es-UY"/>
        </w:rPr>
      </w:pPr>
      <w:r w:rsidRPr="007D12B8">
        <w:rPr>
          <w:rFonts w:ascii="Arial Narrow" w:eastAsia="Times New Roman" w:hAnsi="Arial Narrow" w:cs="Times New Roman"/>
          <w:sz w:val="24"/>
          <w:szCs w:val="24"/>
          <w:lang w:eastAsia="es-UY"/>
        </w:rPr>
        <w:t>El informe, titulado '</w:t>
      </w:r>
      <w:hyperlink r:id="rId6" w:history="1">
        <w:r w:rsidRPr="007D12B8">
          <w:rPr>
            <w:rFonts w:ascii="Arial Narrow" w:eastAsia="Times New Roman" w:hAnsi="Arial Narrow" w:cs="Times New Roman"/>
            <w:sz w:val="24"/>
            <w:szCs w:val="24"/>
            <w:u w:val="single"/>
            <w:lang w:eastAsia="es-UY"/>
          </w:rPr>
          <w:t>Bienestar público o beneficio privado</w:t>
        </w:r>
      </w:hyperlink>
      <w:r w:rsidRPr="007D12B8">
        <w:rPr>
          <w:rFonts w:ascii="Arial Narrow" w:eastAsia="Times New Roman" w:hAnsi="Arial Narrow" w:cs="Times New Roman"/>
          <w:sz w:val="24"/>
          <w:szCs w:val="24"/>
          <w:lang w:eastAsia="es-UY"/>
        </w:rPr>
        <w:t>', muestra cómo la creciente brecha entre las personas ricas y pobres está poniendo en peligro la lucha contra la pobreza, perjudicando nuestras economías y alimentando la indignación de las ciudadanas y ciudadanos en todo el mundo. A su vez, revela cómo los Gobiernos están exacerbando la desigualdad al no dotar los servicios públicos, como la educación y la salud, de la financiación necesaria, al conceder beneficios fiscales a las grandes empresas y las personas más ricas, y al no frenar la elusión fiscal. El informe también constata que la creciente desigualdad económica afecta especialmente a las mujeres y las niñas.</w:t>
      </w:r>
    </w:p>
    <w:p w:rsidR="007D12B8" w:rsidRPr="007D12B8" w:rsidRDefault="007D12B8" w:rsidP="007D12B8">
      <w:pPr>
        <w:spacing w:after="0" w:line="276" w:lineRule="auto"/>
        <w:jc w:val="both"/>
        <w:rPr>
          <w:rFonts w:ascii="Arial Narrow" w:eastAsia="Times New Roman" w:hAnsi="Arial Narrow" w:cs="Times New Roman"/>
          <w:sz w:val="24"/>
          <w:szCs w:val="24"/>
          <w:lang w:eastAsia="es-UY"/>
        </w:rPr>
      </w:pPr>
      <w:r w:rsidRPr="007D12B8">
        <w:rPr>
          <w:rFonts w:ascii="Arial Narrow" w:eastAsia="Times New Roman" w:hAnsi="Arial Narrow" w:cs="Times New Roman"/>
          <w:sz w:val="24"/>
          <w:szCs w:val="24"/>
          <w:lang w:eastAsia="es-UY"/>
        </w:rPr>
        <w:t> </w:t>
      </w:r>
    </w:p>
    <w:p w:rsidR="007D12B8" w:rsidRPr="007D12B8" w:rsidRDefault="007D12B8" w:rsidP="007D12B8">
      <w:pPr>
        <w:spacing w:after="0" w:line="276" w:lineRule="auto"/>
        <w:jc w:val="both"/>
        <w:rPr>
          <w:rFonts w:ascii="Arial Narrow" w:eastAsia="Times New Roman" w:hAnsi="Arial Narrow" w:cs="Times New Roman"/>
          <w:sz w:val="24"/>
          <w:szCs w:val="24"/>
          <w:lang w:eastAsia="es-UY"/>
        </w:rPr>
      </w:pPr>
      <w:r w:rsidRPr="007D12B8">
        <w:rPr>
          <w:rFonts w:ascii="Arial Narrow" w:eastAsia="Times New Roman" w:hAnsi="Arial Narrow" w:cs="Times New Roman"/>
          <w:sz w:val="24"/>
          <w:szCs w:val="24"/>
          <w:lang w:eastAsia="es-UY"/>
        </w:rPr>
        <w:t>El informe revela que, a pesar de que el número de milmillonarios prácticamente se ha duplicado desde el inicio de la crisis económica (entre los años 2017 y 2018 surgía un nuevo milmillonario cada dos días), las élites económicas y las grandes empresas tributan a los tipos impositivos más bajos de las últimas décadas.</w:t>
      </w:r>
    </w:p>
    <w:p w:rsidR="007D12B8" w:rsidRPr="007D12B8" w:rsidRDefault="007D12B8" w:rsidP="007D12B8">
      <w:pPr>
        <w:numPr>
          <w:ilvl w:val="0"/>
          <w:numId w:val="1"/>
        </w:numPr>
        <w:spacing w:after="200" w:line="276" w:lineRule="auto"/>
        <w:jc w:val="both"/>
        <w:rPr>
          <w:rFonts w:ascii="Arial Narrow" w:eastAsia="Times New Roman" w:hAnsi="Arial Narrow" w:cs="Times New Roman"/>
          <w:sz w:val="24"/>
          <w:szCs w:val="24"/>
          <w:lang w:eastAsia="es-UY"/>
        </w:rPr>
      </w:pPr>
      <w:r w:rsidRPr="007D12B8">
        <w:rPr>
          <w:rFonts w:ascii="Arial Narrow" w:eastAsia="Times New Roman" w:hAnsi="Arial Narrow" w:cs="Times New Roman"/>
          <w:sz w:val="24"/>
          <w:szCs w:val="24"/>
          <w:lang w:eastAsia="es-UY"/>
        </w:rPr>
        <w:t>Si el 1% más rico pagase solo un 0,5% más de impuestos sobre su riqueza, podría recaudarse más dinero del necesario para escolarizar a los 262 millones de niñas y niños que actualmente no tienen acceso a la educación, y proporcionar asistencia médica que podría salvar la vida de 3,3 millones de personas.</w:t>
      </w:r>
    </w:p>
    <w:p w:rsidR="007D12B8" w:rsidRPr="007D12B8" w:rsidRDefault="007D12B8" w:rsidP="007D12B8">
      <w:pPr>
        <w:numPr>
          <w:ilvl w:val="0"/>
          <w:numId w:val="1"/>
        </w:numPr>
        <w:spacing w:after="200" w:line="276" w:lineRule="auto"/>
        <w:jc w:val="both"/>
        <w:rPr>
          <w:rFonts w:ascii="Arial Narrow" w:eastAsia="Times New Roman" w:hAnsi="Arial Narrow" w:cs="Times New Roman"/>
          <w:sz w:val="24"/>
          <w:szCs w:val="24"/>
          <w:lang w:eastAsia="es-UY"/>
        </w:rPr>
      </w:pPr>
      <w:r w:rsidRPr="007D12B8">
        <w:rPr>
          <w:rFonts w:ascii="Arial Narrow" w:eastAsia="Times New Roman" w:hAnsi="Arial Narrow" w:cs="Times New Roman"/>
          <w:sz w:val="24"/>
          <w:szCs w:val="24"/>
          <w:lang w:eastAsia="es-UY"/>
        </w:rPr>
        <w:t>En 2015, tan solo cuatro centavos de cada dólar recaudado a través de impuestos correspondían a impuestos sobre la riqueza, como el impuesto sobre sucesiones o sobre la propiedad. Estos tipos de impuestos se han reducido o incluso eliminado en un gran número de países ricos y apenas se aplican en los países en desarrollo.</w:t>
      </w:r>
    </w:p>
    <w:p w:rsidR="007D12B8" w:rsidRPr="007D12B8" w:rsidRDefault="007D12B8" w:rsidP="007D12B8">
      <w:pPr>
        <w:numPr>
          <w:ilvl w:val="0"/>
          <w:numId w:val="1"/>
        </w:numPr>
        <w:spacing w:after="200" w:line="276" w:lineRule="auto"/>
        <w:jc w:val="both"/>
        <w:rPr>
          <w:rFonts w:ascii="Arial Narrow" w:eastAsia="Times New Roman" w:hAnsi="Arial Narrow" w:cs="Times New Roman"/>
          <w:sz w:val="24"/>
          <w:szCs w:val="24"/>
          <w:lang w:eastAsia="es-UY"/>
        </w:rPr>
      </w:pPr>
      <w:r w:rsidRPr="007D12B8">
        <w:rPr>
          <w:rFonts w:ascii="Arial Narrow" w:eastAsia="Times New Roman" w:hAnsi="Arial Narrow" w:cs="Times New Roman"/>
          <w:sz w:val="24"/>
          <w:szCs w:val="24"/>
          <w:lang w:eastAsia="es-UY"/>
        </w:rPr>
        <w:t>También se han reducido drásticamente los tipos impositivos aplicables a las grandes empresas y a las grandes fortunas. Por ejemplo, en los países ricos, el tipo marginal máximo en el impuesto sobre la renta personal se ha reducido, pasando del 62% en 1970 al 38% en 2013. En los países en desarrollo, el tipo marginal máximo en el impuesto sobre la renta personal se sitúa, en promedio, en el 28%.  </w:t>
      </w:r>
    </w:p>
    <w:p w:rsidR="007D12B8" w:rsidRPr="007D12B8" w:rsidRDefault="007D12B8" w:rsidP="007D12B8">
      <w:pPr>
        <w:numPr>
          <w:ilvl w:val="0"/>
          <w:numId w:val="1"/>
        </w:numPr>
        <w:spacing w:after="200" w:line="276" w:lineRule="auto"/>
        <w:jc w:val="both"/>
        <w:rPr>
          <w:rFonts w:ascii="Arial Narrow" w:eastAsia="Times New Roman" w:hAnsi="Arial Narrow" w:cs="Times New Roman"/>
          <w:sz w:val="24"/>
          <w:szCs w:val="24"/>
          <w:lang w:eastAsia="es-UY"/>
        </w:rPr>
      </w:pPr>
      <w:r w:rsidRPr="007D12B8">
        <w:rPr>
          <w:rFonts w:ascii="Arial Narrow" w:eastAsia="Times New Roman" w:hAnsi="Arial Narrow" w:cs="Times New Roman"/>
          <w:sz w:val="24"/>
          <w:szCs w:val="24"/>
          <w:lang w:eastAsia="es-UY"/>
        </w:rPr>
        <w:t>En algunos países, como Brasil, el 10% más pobre de la población dedica al pago de impuestos un porcentaje mayor de sus ingresos que el 10% más rico.</w:t>
      </w:r>
    </w:p>
    <w:p w:rsidR="007D12B8" w:rsidRPr="007D12B8" w:rsidRDefault="007D12B8" w:rsidP="007D12B8">
      <w:pPr>
        <w:spacing w:before="240" w:after="240" w:line="276" w:lineRule="auto"/>
        <w:jc w:val="both"/>
        <w:rPr>
          <w:rFonts w:ascii="Arial Narrow" w:eastAsia="Times New Roman" w:hAnsi="Arial Narrow" w:cs="Times New Roman"/>
          <w:sz w:val="24"/>
          <w:szCs w:val="24"/>
          <w:lang w:eastAsia="es-UY"/>
        </w:rPr>
      </w:pPr>
      <w:r w:rsidRPr="007D12B8">
        <w:rPr>
          <w:rFonts w:ascii="Arial Narrow" w:eastAsia="Times New Roman" w:hAnsi="Arial Narrow" w:cs="Times New Roman"/>
          <w:sz w:val="24"/>
          <w:szCs w:val="24"/>
          <w:lang w:eastAsia="es-UY"/>
        </w:rPr>
        <w:lastRenderedPageBreak/>
        <w:t>El equipo de Oxfam también realizó cálculos para América Latina y el Caribe, donde mientras aumentó la riqueza de los milmillonarios, la pobreza extrema continuó creciendo, alcanzado su nivel más alto desde 2008 y afectando a 62 millones de personas (10,2% de la población):</w:t>
      </w:r>
    </w:p>
    <w:p w:rsidR="007D12B8" w:rsidRPr="007D12B8" w:rsidRDefault="007D12B8" w:rsidP="007D12B8">
      <w:pPr>
        <w:numPr>
          <w:ilvl w:val="0"/>
          <w:numId w:val="2"/>
        </w:numPr>
        <w:spacing w:after="200" w:line="276" w:lineRule="auto"/>
        <w:jc w:val="both"/>
        <w:rPr>
          <w:rFonts w:ascii="Arial Narrow" w:eastAsia="Times New Roman" w:hAnsi="Arial Narrow" w:cs="Times New Roman"/>
          <w:sz w:val="24"/>
          <w:szCs w:val="24"/>
          <w:lang w:eastAsia="es-UY"/>
        </w:rPr>
      </w:pPr>
      <w:r w:rsidRPr="007D12B8">
        <w:rPr>
          <w:rFonts w:ascii="Arial Narrow" w:eastAsia="Times New Roman" w:hAnsi="Arial Narrow" w:cs="Times New Roman"/>
          <w:sz w:val="24"/>
          <w:szCs w:val="24"/>
          <w:lang w:eastAsia="es-UY"/>
        </w:rPr>
        <w:t>La fortuna de los milmillonarios aumentó en un 10% en el último año, es decir, 36 000 millones de dólares, mientras el 20% más pobre de la población, que equivale a 130 millones de personas, vio aumentar sus deudas. </w:t>
      </w:r>
    </w:p>
    <w:p w:rsidR="007D12B8" w:rsidRPr="007D12B8" w:rsidRDefault="007D12B8" w:rsidP="007D12B8">
      <w:pPr>
        <w:numPr>
          <w:ilvl w:val="0"/>
          <w:numId w:val="2"/>
        </w:numPr>
        <w:spacing w:after="200" w:line="276" w:lineRule="auto"/>
        <w:jc w:val="both"/>
        <w:rPr>
          <w:rFonts w:ascii="Arial Narrow" w:eastAsia="Times New Roman" w:hAnsi="Arial Narrow" w:cs="Times New Roman"/>
          <w:sz w:val="24"/>
          <w:szCs w:val="24"/>
          <w:lang w:eastAsia="es-UY"/>
        </w:rPr>
      </w:pPr>
      <w:r w:rsidRPr="007D12B8">
        <w:rPr>
          <w:rFonts w:ascii="Arial Narrow" w:eastAsia="Times New Roman" w:hAnsi="Arial Narrow" w:cs="Times New Roman"/>
          <w:sz w:val="24"/>
          <w:szCs w:val="24"/>
          <w:lang w:eastAsia="es-UY"/>
        </w:rPr>
        <w:t>La fortuna acumulada de los milmillonarios asciende a 414 000 millones de dólares, un monto mayor al PIB de casi todos los países de la región, excepto Brasil, México y Argentina. </w:t>
      </w:r>
    </w:p>
    <w:p w:rsidR="007D12B8" w:rsidRPr="007D12B8" w:rsidRDefault="007D12B8" w:rsidP="007D12B8">
      <w:pPr>
        <w:numPr>
          <w:ilvl w:val="0"/>
          <w:numId w:val="2"/>
        </w:numPr>
        <w:spacing w:after="200" w:line="276" w:lineRule="auto"/>
        <w:jc w:val="both"/>
        <w:rPr>
          <w:rFonts w:ascii="Arial Narrow" w:eastAsia="Times New Roman" w:hAnsi="Arial Narrow" w:cs="Times New Roman"/>
          <w:sz w:val="24"/>
          <w:szCs w:val="24"/>
          <w:lang w:eastAsia="es-UY"/>
        </w:rPr>
      </w:pPr>
      <w:r w:rsidRPr="007D12B8">
        <w:rPr>
          <w:rFonts w:ascii="Arial Narrow" w:eastAsia="Times New Roman" w:hAnsi="Arial Narrow" w:cs="Times New Roman"/>
          <w:sz w:val="24"/>
          <w:szCs w:val="24"/>
          <w:lang w:eastAsia="es-UY"/>
        </w:rPr>
        <w:t>El 10% de los más ricos paga solo un 4,8% de impuesto sobre la renta, aunque debería pagar en promedio un 28%. </w:t>
      </w:r>
    </w:p>
    <w:p w:rsidR="007D12B8" w:rsidRPr="007D12B8" w:rsidRDefault="007D12B8" w:rsidP="007D12B8">
      <w:pPr>
        <w:numPr>
          <w:ilvl w:val="0"/>
          <w:numId w:val="2"/>
        </w:numPr>
        <w:spacing w:after="200" w:line="276" w:lineRule="auto"/>
        <w:jc w:val="both"/>
        <w:rPr>
          <w:rFonts w:ascii="Arial Narrow" w:eastAsia="Times New Roman" w:hAnsi="Arial Narrow" w:cs="Times New Roman"/>
          <w:sz w:val="24"/>
          <w:szCs w:val="24"/>
          <w:lang w:eastAsia="es-UY"/>
        </w:rPr>
      </w:pPr>
      <w:r w:rsidRPr="007D12B8">
        <w:rPr>
          <w:rFonts w:ascii="Arial Narrow" w:eastAsia="Times New Roman" w:hAnsi="Arial Narrow" w:cs="Times New Roman"/>
          <w:sz w:val="24"/>
          <w:szCs w:val="24"/>
          <w:lang w:eastAsia="es-UY"/>
        </w:rPr>
        <w:t>Con el dinero que las empresas dejan de pagar cada año por beneficios fiscales en el impuesto sobre la renta, se podría contratar a 93 000 médicos en Guatemala o 349 000 en Brasil, construir 120 000 viviendas en República Dominicana o 70 000 en Paraguay, y contratar a 94 000 docentes en Bolivia o 41 000 en El Salvador. </w:t>
      </w:r>
    </w:p>
    <w:p w:rsidR="007D12B8" w:rsidRPr="007D12B8" w:rsidRDefault="007D12B8" w:rsidP="007D12B8">
      <w:pPr>
        <w:numPr>
          <w:ilvl w:val="0"/>
          <w:numId w:val="2"/>
        </w:numPr>
        <w:spacing w:after="200" w:line="276" w:lineRule="auto"/>
        <w:jc w:val="both"/>
        <w:rPr>
          <w:rFonts w:ascii="Arial Narrow" w:eastAsia="Times New Roman" w:hAnsi="Arial Narrow" w:cs="Times New Roman"/>
          <w:sz w:val="24"/>
          <w:szCs w:val="24"/>
          <w:lang w:eastAsia="es-UY"/>
        </w:rPr>
      </w:pPr>
      <w:r w:rsidRPr="007D12B8">
        <w:rPr>
          <w:rFonts w:ascii="Arial Narrow" w:eastAsia="Times New Roman" w:hAnsi="Arial Narrow" w:cs="Times New Roman"/>
          <w:sz w:val="24"/>
          <w:szCs w:val="24"/>
          <w:lang w:eastAsia="es-UY"/>
        </w:rPr>
        <w:t>Las mujeres dedican 38 horas semanales al trabajo de cuidados no remunerado, mientras los hombres dedican 16 horas. En comunidades rurales de Colombia, las mujeres dedican en promedio 14 horas diarias a cuidar de sus familiares.</w:t>
      </w:r>
    </w:p>
    <w:p w:rsidR="007D12B8" w:rsidRPr="007D12B8" w:rsidRDefault="007D12B8" w:rsidP="007D12B8">
      <w:pPr>
        <w:spacing w:before="240" w:after="240" w:line="276" w:lineRule="auto"/>
        <w:jc w:val="both"/>
        <w:rPr>
          <w:rFonts w:ascii="Arial Narrow" w:eastAsia="Times New Roman" w:hAnsi="Arial Narrow" w:cs="Times New Roman"/>
          <w:sz w:val="24"/>
          <w:szCs w:val="24"/>
          <w:lang w:eastAsia="es-UY"/>
        </w:rPr>
      </w:pPr>
      <w:r w:rsidRPr="007D12B8">
        <w:rPr>
          <w:rFonts w:ascii="Arial Narrow" w:eastAsia="Times New Roman" w:hAnsi="Arial Narrow" w:cs="Times New Roman"/>
          <w:sz w:val="24"/>
          <w:szCs w:val="24"/>
          <w:lang w:eastAsia="es-UY"/>
        </w:rPr>
        <w:t xml:space="preserve">Winnie </w:t>
      </w:r>
      <w:proofErr w:type="spellStart"/>
      <w:r w:rsidRPr="007D12B8">
        <w:rPr>
          <w:rFonts w:ascii="Arial Narrow" w:eastAsia="Times New Roman" w:hAnsi="Arial Narrow" w:cs="Times New Roman"/>
          <w:sz w:val="24"/>
          <w:szCs w:val="24"/>
          <w:lang w:eastAsia="es-UY"/>
        </w:rPr>
        <w:t>Byanyima</w:t>
      </w:r>
      <w:proofErr w:type="spellEnd"/>
      <w:r w:rsidRPr="007D12B8">
        <w:rPr>
          <w:rFonts w:ascii="Arial Narrow" w:eastAsia="Times New Roman" w:hAnsi="Arial Narrow" w:cs="Times New Roman"/>
          <w:sz w:val="24"/>
          <w:szCs w:val="24"/>
          <w:lang w:eastAsia="es-UY"/>
        </w:rPr>
        <w:t>, directora ejecutiva de Oxfam Internacional, ha señalado:</w:t>
      </w:r>
      <w:r w:rsidRPr="007D12B8">
        <w:rPr>
          <w:rFonts w:ascii="Arial Narrow" w:eastAsia="Times New Roman" w:hAnsi="Arial Narrow" w:cs="Times New Roman"/>
          <w:sz w:val="24"/>
          <w:szCs w:val="24"/>
          <w:lang w:eastAsia="es-UY"/>
        </w:rPr>
        <w:br/>
        <w:t> </w:t>
      </w:r>
      <w:r w:rsidRPr="007D12B8">
        <w:rPr>
          <w:rFonts w:ascii="Arial Narrow" w:eastAsia="Times New Roman" w:hAnsi="Arial Narrow" w:cs="Times New Roman"/>
          <w:sz w:val="24"/>
          <w:szCs w:val="24"/>
          <w:lang w:eastAsia="es-UY"/>
        </w:rPr>
        <w:br/>
      </w:r>
      <w:r w:rsidRPr="007D12B8">
        <w:rPr>
          <w:rFonts w:ascii="Arial Narrow" w:eastAsia="Times New Roman" w:hAnsi="Arial Narrow" w:cs="Times New Roman"/>
          <w:i/>
          <w:iCs/>
          <w:sz w:val="24"/>
          <w:szCs w:val="24"/>
          <w:lang w:eastAsia="es-UY"/>
        </w:rPr>
        <w:t>"El tamaño de tu cuenta bancaria no debería determinar los años que permaneces en la escuela ni cuál es tu esperanza de vida. Lamentablemente, esto es una realidad en demasiados países del mundo. Las grandes empresas y los súper ricos disfrutan de bajas facturas fiscales mientras a millones de niñas se les niega su derecho a la educación y muchas mujeres pierden la vida por la falta de acceso a servicios de atención materna".</w:t>
      </w:r>
    </w:p>
    <w:p w:rsidR="007D12B8" w:rsidRPr="007D12B8" w:rsidRDefault="007D12B8" w:rsidP="007D12B8">
      <w:pPr>
        <w:spacing w:before="240" w:after="240" w:line="276" w:lineRule="auto"/>
        <w:jc w:val="both"/>
        <w:rPr>
          <w:rFonts w:ascii="Arial Narrow" w:eastAsia="Times New Roman" w:hAnsi="Arial Narrow" w:cs="Times New Roman"/>
          <w:sz w:val="24"/>
          <w:szCs w:val="24"/>
          <w:lang w:eastAsia="es-UY"/>
        </w:rPr>
      </w:pPr>
      <w:r w:rsidRPr="007D12B8">
        <w:rPr>
          <w:rFonts w:ascii="Arial Narrow" w:eastAsia="Times New Roman" w:hAnsi="Arial Narrow" w:cs="Times New Roman"/>
          <w:sz w:val="24"/>
          <w:szCs w:val="24"/>
          <w:lang w:eastAsia="es-UY"/>
        </w:rPr>
        <w:t>El informe también señala que los servicios públicos sufren un déficit crónico de financiación o se subcontratan a empresas privadas que excluyen a las personas más pobres. En muchos países, los servicios de educación o salud de calidad se han convertido en un lujo que solo se pueden permitir las personas ricas. Cada día mueren 10 000 personas por no poder pagar la atención sanitaria. En los países en desarrollo, una niña o niño de una familia pobre tiene dos veces más probabilidades de morir antes de alcanzar los 5 años que una niña o niño de una familia rica. En países como Kenia, una niña o niño de una familia rica estudia, en promedio, el doble de años que una niña o niño de una familia pobre.</w:t>
      </w:r>
    </w:p>
    <w:p w:rsidR="007D12B8" w:rsidRPr="007D12B8" w:rsidRDefault="007D12B8" w:rsidP="007D12B8">
      <w:pPr>
        <w:spacing w:before="240" w:after="240" w:line="276" w:lineRule="auto"/>
        <w:jc w:val="both"/>
        <w:rPr>
          <w:rFonts w:ascii="Arial Narrow" w:eastAsia="Times New Roman" w:hAnsi="Arial Narrow" w:cs="Times New Roman"/>
          <w:sz w:val="24"/>
          <w:szCs w:val="24"/>
          <w:lang w:eastAsia="es-UY"/>
        </w:rPr>
      </w:pPr>
      <w:r w:rsidRPr="007D12B8">
        <w:rPr>
          <w:rFonts w:ascii="Arial Narrow" w:eastAsia="Times New Roman" w:hAnsi="Arial Narrow" w:cs="Times New Roman"/>
          <w:sz w:val="24"/>
          <w:szCs w:val="24"/>
          <w:lang w:eastAsia="es-UY"/>
        </w:rPr>
        <w:t xml:space="preserve">Las bajadas de los tipos impositivos en el impuesto sobre la riqueza benefician sobre todo a los hombres, quienes poseen un 50% más de riqueza que las mujeres a nivel global y controlan más del 86% de las grandes empresas. En cambio, cuando se descuidan los servicios públicos, son las mujeres y las niñas en situación de pobreza las que más sufren las consecuencias. Por ejemplo, las mujeres dedican horas no remuneradas para cuidar de sus familiares enfermos </w:t>
      </w:r>
      <w:r w:rsidRPr="007D12B8">
        <w:rPr>
          <w:rFonts w:ascii="Arial Narrow" w:eastAsia="Times New Roman" w:hAnsi="Arial Narrow" w:cs="Times New Roman"/>
          <w:sz w:val="24"/>
          <w:szCs w:val="24"/>
          <w:lang w:eastAsia="es-UY"/>
        </w:rPr>
        <w:lastRenderedPageBreak/>
        <w:t>cuando los servicios públicos de salud fallan. Oxfam estima que, si una única empresa se encargase de realizar el trabajo de cuidados no remunerado que llevan a cabo las mujeres de todo el mundo, su facturación anual ascendería a 10 billones de dólares, 43 veces más que la de Apple, la mayor empresa del mundo.</w:t>
      </w:r>
      <w:r w:rsidRPr="007D12B8">
        <w:rPr>
          <w:rFonts w:ascii="Arial Narrow" w:eastAsia="Times New Roman" w:hAnsi="Arial Narrow" w:cs="Times New Roman"/>
          <w:sz w:val="24"/>
          <w:szCs w:val="24"/>
          <w:lang w:eastAsia="es-UY"/>
        </w:rPr>
        <w:br/>
        <w:t> </w:t>
      </w:r>
      <w:r w:rsidRPr="007D12B8">
        <w:rPr>
          <w:rFonts w:ascii="Arial Narrow" w:eastAsia="Times New Roman" w:hAnsi="Arial Narrow" w:cs="Times New Roman"/>
          <w:sz w:val="24"/>
          <w:szCs w:val="24"/>
          <w:lang w:eastAsia="es-UY"/>
        </w:rPr>
        <w:br/>
        <w:t>"</w:t>
      </w:r>
      <w:r w:rsidRPr="007D12B8">
        <w:rPr>
          <w:rFonts w:ascii="Arial Narrow" w:eastAsia="Times New Roman" w:hAnsi="Arial Narrow" w:cs="Times New Roman"/>
          <w:i/>
          <w:iCs/>
          <w:sz w:val="24"/>
          <w:szCs w:val="24"/>
          <w:lang w:eastAsia="es-UY"/>
        </w:rPr>
        <w:t>En todo el mundo hay cada vez más personas que se sienten frustradas y enfadadas. Los Gobiernos deberían actuar inmediatamente para lograr cambios reales asegurándose de que las grandes empresas y las personas más ricas paguen los impuestos que les corresponden justamente, e invirtiendo este dinero en servicios gratuitos de educación y salud que satisfagan las necesidades de toda la población, incluidas las mujeres y las niñas, que se ignoran con demasiada frecuencia. Los Gobiernos pueden construir un futuro más prometedor para todas las personas y no solo para una minoría privilegiada</w:t>
      </w:r>
      <w:r w:rsidRPr="007D12B8">
        <w:rPr>
          <w:rFonts w:ascii="Arial Narrow" w:eastAsia="Times New Roman" w:hAnsi="Arial Narrow" w:cs="Times New Roman"/>
          <w:sz w:val="24"/>
          <w:szCs w:val="24"/>
          <w:lang w:eastAsia="es-UY"/>
        </w:rPr>
        <w:t xml:space="preserve">", añade </w:t>
      </w:r>
      <w:proofErr w:type="spellStart"/>
      <w:r w:rsidRPr="007D12B8">
        <w:rPr>
          <w:rFonts w:ascii="Arial Narrow" w:eastAsia="Times New Roman" w:hAnsi="Arial Narrow" w:cs="Times New Roman"/>
          <w:sz w:val="24"/>
          <w:szCs w:val="24"/>
          <w:lang w:eastAsia="es-UY"/>
        </w:rPr>
        <w:t>Byanyima</w:t>
      </w:r>
      <w:proofErr w:type="spellEnd"/>
      <w:r w:rsidRPr="007D12B8">
        <w:rPr>
          <w:rFonts w:ascii="Arial Narrow" w:eastAsia="Times New Roman" w:hAnsi="Arial Narrow" w:cs="Times New Roman"/>
          <w:sz w:val="24"/>
          <w:szCs w:val="24"/>
          <w:lang w:eastAsia="es-UY"/>
        </w:rPr>
        <w:t>.</w:t>
      </w:r>
    </w:p>
    <w:p w:rsidR="007D12B8" w:rsidRPr="007D12B8" w:rsidRDefault="007D12B8" w:rsidP="007D12B8">
      <w:pPr>
        <w:pBdr>
          <w:bottom w:val="single" w:sz="12" w:space="0" w:color="0C884A"/>
        </w:pBdr>
        <w:spacing w:before="257" w:after="257" w:line="276" w:lineRule="auto"/>
        <w:jc w:val="both"/>
        <w:outlineLvl w:val="1"/>
        <w:rPr>
          <w:rFonts w:ascii="Arial Narrow" w:eastAsia="Times New Roman" w:hAnsi="Arial Narrow" w:cs="Times New Roman"/>
          <w:b/>
          <w:bCs/>
          <w:sz w:val="24"/>
          <w:szCs w:val="24"/>
          <w:lang w:eastAsia="es-UY"/>
        </w:rPr>
      </w:pPr>
      <w:r w:rsidRPr="007D12B8">
        <w:rPr>
          <w:rFonts w:ascii="Arial Narrow" w:eastAsia="Times New Roman" w:hAnsi="Arial Narrow" w:cs="Times New Roman"/>
          <w:b/>
          <w:bCs/>
          <w:sz w:val="24"/>
          <w:szCs w:val="24"/>
          <w:lang w:eastAsia="es-UY"/>
        </w:rPr>
        <w:t>Notas a los editores</w:t>
      </w:r>
    </w:p>
    <w:p w:rsidR="007D12B8" w:rsidRPr="007D12B8" w:rsidRDefault="007D12B8" w:rsidP="007D12B8">
      <w:pPr>
        <w:spacing w:after="0" w:line="276" w:lineRule="auto"/>
        <w:jc w:val="both"/>
        <w:rPr>
          <w:rFonts w:ascii="Arial Narrow" w:eastAsia="Times New Roman" w:hAnsi="Arial Narrow" w:cs="Times New Roman"/>
          <w:sz w:val="24"/>
          <w:szCs w:val="24"/>
          <w:lang w:eastAsia="es-UY"/>
        </w:rPr>
      </w:pPr>
      <w:r w:rsidRPr="007D12B8">
        <w:rPr>
          <w:rFonts w:ascii="Arial Narrow" w:eastAsia="Times New Roman" w:hAnsi="Arial Narrow" w:cs="Times New Roman"/>
          <w:sz w:val="24"/>
          <w:szCs w:val="24"/>
          <w:lang w:eastAsia="es-UY"/>
        </w:rPr>
        <w:t>El informe, la nota metodológica que explica cómo Oxfam ha realizado los cálculos y los datos están disponibles </w:t>
      </w:r>
      <w:hyperlink r:id="rId7" w:history="1">
        <w:r w:rsidRPr="007D12B8">
          <w:rPr>
            <w:rFonts w:ascii="Arial Narrow" w:eastAsia="Times New Roman" w:hAnsi="Arial Narrow" w:cs="Times New Roman"/>
            <w:sz w:val="24"/>
            <w:szCs w:val="24"/>
            <w:u w:val="single"/>
            <w:lang w:eastAsia="es-UY"/>
          </w:rPr>
          <w:t>aquí</w:t>
        </w:r>
      </w:hyperlink>
      <w:r w:rsidRPr="007D12B8">
        <w:rPr>
          <w:rFonts w:ascii="Arial Narrow" w:eastAsia="Times New Roman" w:hAnsi="Arial Narrow" w:cs="Times New Roman"/>
          <w:sz w:val="24"/>
          <w:szCs w:val="24"/>
          <w:lang w:eastAsia="es-UY"/>
        </w:rPr>
        <w:t>.</w:t>
      </w:r>
    </w:p>
    <w:p w:rsidR="007D12B8" w:rsidRPr="007D12B8" w:rsidRDefault="007D12B8" w:rsidP="007D12B8">
      <w:pPr>
        <w:spacing w:after="0" w:line="276" w:lineRule="auto"/>
        <w:jc w:val="both"/>
        <w:rPr>
          <w:rFonts w:ascii="Arial Narrow" w:eastAsia="Times New Roman" w:hAnsi="Arial Narrow" w:cs="Times New Roman"/>
          <w:sz w:val="24"/>
          <w:szCs w:val="24"/>
          <w:lang w:eastAsia="es-UY"/>
        </w:rPr>
      </w:pPr>
      <w:r w:rsidRPr="007D12B8">
        <w:rPr>
          <w:rFonts w:ascii="Arial Narrow" w:eastAsia="Times New Roman" w:hAnsi="Arial Narrow" w:cs="Times New Roman"/>
          <w:sz w:val="24"/>
          <w:szCs w:val="24"/>
          <w:lang w:eastAsia="es-UY"/>
        </w:rPr>
        <w:t> </w:t>
      </w:r>
    </w:p>
    <w:p w:rsidR="007D12B8" w:rsidRPr="007D12B8" w:rsidRDefault="007D12B8" w:rsidP="007D12B8">
      <w:pPr>
        <w:spacing w:after="0" w:line="276" w:lineRule="auto"/>
        <w:jc w:val="both"/>
        <w:rPr>
          <w:rFonts w:ascii="Arial Narrow" w:eastAsia="Times New Roman" w:hAnsi="Arial Narrow" w:cs="Times New Roman"/>
          <w:sz w:val="24"/>
          <w:szCs w:val="24"/>
          <w:lang w:eastAsia="es-UY"/>
        </w:rPr>
      </w:pPr>
      <w:r w:rsidRPr="007D12B8">
        <w:rPr>
          <w:rFonts w:ascii="Arial Narrow" w:eastAsia="Times New Roman" w:hAnsi="Arial Narrow" w:cs="Times New Roman"/>
          <w:sz w:val="24"/>
          <w:szCs w:val="24"/>
          <w:lang w:eastAsia="es-UY"/>
        </w:rPr>
        <w:t xml:space="preserve">Los cálculos de Oxfam se basan en las fuentes de datos más completas y actualizadas que hay disponibles. Las cifras relacionadas con el porcentaje de riqueza que está en manos de la mitad más pobre de la humanidad proceden de la base de datos sobre riqueza mundial de </w:t>
      </w:r>
      <w:proofErr w:type="spellStart"/>
      <w:r w:rsidRPr="007D12B8">
        <w:rPr>
          <w:rFonts w:ascii="Arial Narrow" w:eastAsia="Times New Roman" w:hAnsi="Arial Narrow" w:cs="Times New Roman"/>
          <w:sz w:val="24"/>
          <w:szCs w:val="24"/>
          <w:lang w:eastAsia="es-UY"/>
        </w:rPr>
        <w:t>Credit</w:t>
      </w:r>
      <w:proofErr w:type="spellEnd"/>
      <w:r w:rsidRPr="007D12B8">
        <w:rPr>
          <w:rFonts w:ascii="Arial Narrow" w:eastAsia="Times New Roman" w:hAnsi="Arial Narrow" w:cs="Times New Roman"/>
          <w:sz w:val="24"/>
          <w:szCs w:val="24"/>
          <w:lang w:eastAsia="es-UY"/>
        </w:rPr>
        <w:t xml:space="preserve"> </w:t>
      </w:r>
      <w:proofErr w:type="spellStart"/>
      <w:r w:rsidRPr="007D12B8">
        <w:rPr>
          <w:rFonts w:ascii="Arial Narrow" w:eastAsia="Times New Roman" w:hAnsi="Arial Narrow" w:cs="Times New Roman"/>
          <w:sz w:val="24"/>
          <w:szCs w:val="24"/>
          <w:lang w:eastAsia="es-UY"/>
        </w:rPr>
        <w:t>Suisse</w:t>
      </w:r>
      <w:proofErr w:type="spellEnd"/>
      <w:r w:rsidRPr="007D12B8">
        <w:rPr>
          <w:rFonts w:ascii="Arial Narrow" w:eastAsia="Times New Roman" w:hAnsi="Arial Narrow" w:cs="Times New Roman"/>
          <w:sz w:val="24"/>
          <w:szCs w:val="24"/>
          <w:lang w:eastAsia="es-UY"/>
        </w:rPr>
        <w:t xml:space="preserve"> y se refieren al período comprendido entre junio de 2017 y junio de 2018. Las cifras en relación con las personas más ricas se basan en datos más completos que proceden de la lista anual de milmillonarios de </w:t>
      </w:r>
      <w:r w:rsidRPr="007D12B8">
        <w:rPr>
          <w:rFonts w:ascii="Arial Narrow" w:eastAsia="Times New Roman" w:hAnsi="Arial Narrow" w:cs="Times New Roman"/>
          <w:i/>
          <w:iCs/>
          <w:sz w:val="24"/>
          <w:szCs w:val="24"/>
          <w:lang w:eastAsia="es-UY"/>
        </w:rPr>
        <w:t>Forbes</w:t>
      </w:r>
      <w:r w:rsidRPr="007D12B8">
        <w:rPr>
          <w:rFonts w:ascii="Arial Narrow" w:eastAsia="Times New Roman" w:hAnsi="Arial Narrow" w:cs="Times New Roman"/>
          <w:sz w:val="24"/>
          <w:szCs w:val="24"/>
          <w:lang w:eastAsia="es-UY"/>
        </w:rPr>
        <w:t> para el período comprendido entre Marzo de 2017 y Marzo de 2018.</w:t>
      </w:r>
    </w:p>
    <w:p w:rsidR="007D12B8" w:rsidRPr="007D12B8" w:rsidRDefault="007D12B8" w:rsidP="007D12B8">
      <w:pPr>
        <w:spacing w:after="0" w:line="276" w:lineRule="auto"/>
        <w:jc w:val="both"/>
        <w:rPr>
          <w:rFonts w:ascii="Arial Narrow" w:eastAsia="Times New Roman" w:hAnsi="Arial Narrow" w:cs="Times New Roman"/>
          <w:sz w:val="24"/>
          <w:szCs w:val="24"/>
          <w:lang w:eastAsia="es-UY"/>
        </w:rPr>
      </w:pPr>
      <w:r w:rsidRPr="007D12B8">
        <w:rPr>
          <w:rFonts w:ascii="Arial Narrow" w:eastAsia="Times New Roman" w:hAnsi="Arial Narrow" w:cs="Times New Roman"/>
          <w:sz w:val="24"/>
          <w:szCs w:val="24"/>
          <w:lang w:eastAsia="es-UY"/>
        </w:rPr>
        <w:t> </w:t>
      </w:r>
    </w:p>
    <w:p w:rsidR="007D12B8" w:rsidRPr="007D12B8" w:rsidRDefault="007D12B8" w:rsidP="007D12B8">
      <w:pPr>
        <w:spacing w:after="0" w:line="276" w:lineRule="auto"/>
        <w:jc w:val="both"/>
        <w:rPr>
          <w:rFonts w:ascii="Arial Narrow" w:eastAsia="Times New Roman" w:hAnsi="Arial Narrow" w:cs="Times New Roman"/>
          <w:sz w:val="24"/>
          <w:szCs w:val="24"/>
          <w:lang w:eastAsia="es-UY"/>
        </w:rPr>
      </w:pPr>
      <w:r w:rsidRPr="007D12B8">
        <w:rPr>
          <w:rFonts w:ascii="Arial Narrow" w:eastAsia="Times New Roman" w:hAnsi="Arial Narrow" w:cs="Times New Roman"/>
          <w:sz w:val="24"/>
          <w:szCs w:val="24"/>
          <w:lang w:eastAsia="es-UY"/>
        </w:rPr>
        <w:t>Oxfam se enorgullece de formar parte de la </w:t>
      </w:r>
      <w:proofErr w:type="spellStart"/>
      <w:r w:rsidRPr="007D12B8">
        <w:rPr>
          <w:rFonts w:ascii="Arial Narrow" w:eastAsia="Times New Roman" w:hAnsi="Arial Narrow" w:cs="Times New Roman"/>
          <w:sz w:val="24"/>
          <w:szCs w:val="24"/>
          <w:lang w:eastAsia="es-UY"/>
        </w:rPr>
        <w:fldChar w:fldCharType="begin"/>
      </w:r>
      <w:r w:rsidRPr="007D12B8">
        <w:rPr>
          <w:rFonts w:ascii="Arial Narrow" w:eastAsia="Times New Roman" w:hAnsi="Arial Narrow" w:cs="Times New Roman"/>
          <w:sz w:val="24"/>
          <w:szCs w:val="24"/>
          <w:lang w:eastAsia="es-UY"/>
        </w:rPr>
        <w:instrText xml:space="preserve"> HYPERLINK "http://www.fightinequality.org/" </w:instrText>
      </w:r>
      <w:r w:rsidRPr="007D12B8">
        <w:rPr>
          <w:rFonts w:ascii="Arial Narrow" w:eastAsia="Times New Roman" w:hAnsi="Arial Narrow" w:cs="Times New Roman"/>
          <w:sz w:val="24"/>
          <w:szCs w:val="24"/>
          <w:lang w:eastAsia="es-UY"/>
        </w:rPr>
        <w:fldChar w:fldCharType="separate"/>
      </w:r>
      <w:r w:rsidRPr="007D12B8">
        <w:rPr>
          <w:rFonts w:ascii="Arial Narrow" w:eastAsia="Times New Roman" w:hAnsi="Arial Narrow" w:cs="Times New Roman"/>
          <w:sz w:val="24"/>
          <w:szCs w:val="24"/>
          <w:u w:val="single"/>
          <w:lang w:eastAsia="es-UY"/>
        </w:rPr>
        <w:t>Fight</w:t>
      </w:r>
      <w:proofErr w:type="spellEnd"/>
      <w:r w:rsidRPr="007D12B8">
        <w:rPr>
          <w:rFonts w:ascii="Arial Narrow" w:eastAsia="Times New Roman" w:hAnsi="Arial Narrow" w:cs="Times New Roman"/>
          <w:sz w:val="24"/>
          <w:szCs w:val="24"/>
          <w:u w:val="single"/>
          <w:lang w:eastAsia="es-UY"/>
        </w:rPr>
        <w:t xml:space="preserve"> </w:t>
      </w:r>
      <w:proofErr w:type="spellStart"/>
      <w:r w:rsidRPr="007D12B8">
        <w:rPr>
          <w:rFonts w:ascii="Arial Narrow" w:eastAsia="Times New Roman" w:hAnsi="Arial Narrow" w:cs="Times New Roman"/>
          <w:sz w:val="24"/>
          <w:szCs w:val="24"/>
          <w:u w:val="single"/>
          <w:lang w:eastAsia="es-UY"/>
        </w:rPr>
        <w:t>Inequality</w:t>
      </w:r>
      <w:proofErr w:type="spellEnd"/>
      <w:r w:rsidRPr="007D12B8">
        <w:rPr>
          <w:rFonts w:ascii="Arial Narrow" w:eastAsia="Times New Roman" w:hAnsi="Arial Narrow" w:cs="Times New Roman"/>
          <w:sz w:val="24"/>
          <w:szCs w:val="24"/>
          <w:u w:val="single"/>
          <w:lang w:eastAsia="es-UY"/>
        </w:rPr>
        <w:t xml:space="preserve"> Alliance</w:t>
      </w:r>
      <w:r w:rsidRPr="007D12B8">
        <w:rPr>
          <w:rFonts w:ascii="Arial Narrow" w:eastAsia="Times New Roman" w:hAnsi="Arial Narrow" w:cs="Times New Roman"/>
          <w:sz w:val="24"/>
          <w:szCs w:val="24"/>
          <w:lang w:eastAsia="es-UY"/>
        </w:rPr>
        <w:fldChar w:fldCharType="end"/>
      </w:r>
      <w:r w:rsidRPr="007D12B8">
        <w:rPr>
          <w:rFonts w:ascii="Arial Narrow" w:eastAsia="Times New Roman" w:hAnsi="Arial Narrow" w:cs="Times New Roman"/>
          <w:sz w:val="24"/>
          <w:szCs w:val="24"/>
          <w:lang w:eastAsia="es-UY"/>
        </w:rPr>
        <w:t>, una coalición compuesta por movimientos sociales, grupos defensores de los derechos de las mujeres y del medio ambiente, sindicatos y organizaciones no gubernamentales. La coalición llevará a cabo eventos en más de 30 países entre el 18 y el 25 de enero, coincidiendo con el Foro Económico Mundial en Davos, con el objetivo de pedir a los líderes que escuchen las peticiones y las soluciones de la ciudadanía para abordar la desigualdad, y no a las élites reunidas en Davos. </w:t>
      </w:r>
    </w:p>
    <w:p w:rsidR="007D12B8" w:rsidRPr="007D12B8" w:rsidRDefault="007D12B8" w:rsidP="007D12B8">
      <w:pPr>
        <w:pBdr>
          <w:bottom w:val="single" w:sz="12" w:space="0" w:color="0C884A"/>
        </w:pBdr>
        <w:spacing w:before="257" w:after="257" w:line="276" w:lineRule="auto"/>
        <w:jc w:val="both"/>
        <w:outlineLvl w:val="1"/>
        <w:rPr>
          <w:rFonts w:ascii="Arial Narrow" w:eastAsia="Times New Roman" w:hAnsi="Arial Narrow" w:cs="Times New Roman"/>
          <w:b/>
          <w:bCs/>
          <w:sz w:val="24"/>
          <w:szCs w:val="24"/>
          <w:lang w:eastAsia="es-UY"/>
        </w:rPr>
      </w:pPr>
      <w:r w:rsidRPr="007D12B8">
        <w:rPr>
          <w:rFonts w:ascii="Arial Narrow" w:eastAsia="Times New Roman" w:hAnsi="Arial Narrow" w:cs="Times New Roman"/>
          <w:b/>
          <w:bCs/>
          <w:sz w:val="24"/>
          <w:szCs w:val="24"/>
          <w:lang w:eastAsia="es-UY"/>
        </w:rPr>
        <w:t>Contacto para medios</w:t>
      </w:r>
    </w:p>
    <w:p w:rsidR="007D12B8" w:rsidRPr="007D12B8" w:rsidRDefault="007D12B8" w:rsidP="007D12B8">
      <w:pPr>
        <w:spacing w:before="240" w:after="240" w:line="276" w:lineRule="auto"/>
        <w:jc w:val="both"/>
        <w:rPr>
          <w:rFonts w:ascii="Arial Narrow" w:eastAsia="Times New Roman" w:hAnsi="Arial Narrow" w:cs="Times New Roman"/>
          <w:sz w:val="24"/>
          <w:szCs w:val="24"/>
          <w:lang w:eastAsia="es-UY"/>
        </w:rPr>
      </w:pPr>
      <w:r w:rsidRPr="007D12B8">
        <w:rPr>
          <w:rFonts w:ascii="Arial Narrow" w:eastAsia="Times New Roman" w:hAnsi="Arial Narrow" w:cs="Times New Roman"/>
          <w:sz w:val="24"/>
          <w:szCs w:val="24"/>
          <w:lang w:eastAsia="es-UY"/>
        </w:rPr>
        <w:t xml:space="preserve">Annie </w:t>
      </w:r>
      <w:proofErr w:type="spellStart"/>
      <w:r w:rsidRPr="007D12B8">
        <w:rPr>
          <w:rFonts w:ascii="Arial Narrow" w:eastAsia="Times New Roman" w:hAnsi="Arial Narrow" w:cs="Times New Roman"/>
          <w:sz w:val="24"/>
          <w:szCs w:val="24"/>
          <w:lang w:eastAsia="es-UY"/>
        </w:rPr>
        <w:t>Thériault</w:t>
      </w:r>
      <w:proofErr w:type="spellEnd"/>
      <w:r w:rsidRPr="007D12B8">
        <w:rPr>
          <w:rFonts w:ascii="Arial Narrow" w:eastAsia="Times New Roman" w:hAnsi="Arial Narrow" w:cs="Times New Roman"/>
          <w:sz w:val="24"/>
          <w:szCs w:val="24"/>
          <w:lang w:eastAsia="es-UY"/>
        </w:rPr>
        <w:t xml:space="preserve"> en Lima, Perú | annie.theriault@oxfam.org | +51 936 307 990 | </w:t>
      </w:r>
      <w:hyperlink r:id="rId8" w:history="1">
        <w:r w:rsidRPr="007D12B8">
          <w:rPr>
            <w:rFonts w:ascii="Arial Narrow" w:eastAsia="Times New Roman" w:hAnsi="Arial Narrow" w:cs="Times New Roman"/>
            <w:sz w:val="24"/>
            <w:szCs w:val="24"/>
            <w:u w:val="single"/>
            <w:lang w:eastAsia="es-UY"/>
          </w:rPr>
          <w:t>@</w:t>
        </w:r>
        <w:proofErr w:type="spellStart"/>
        <w:r w:rsidRPr="007D12B8">
          <w:rPr>
            <w:rFonts w:ascii="Arial Narrow" w:eastAsia="Times New Roman" w:hAnsi="Arial Narrow" w:cs="Times New Roman"/>
            <w:sz w:val="24"/>
            <w:szCs w:val="24"/>
            <w:u w:val="single"/>
            <w:lang w:eastAsia="es-UY"/>
          </w:rPr>
          <w:t>annietheri</w:t>
        </w:r>
        <w:proofErr w:type="spellEnd"/>
      </w:hyperlink>
    </w:p>
    <w:p w:rsidR="007D12B8" w:rsidRPr="007D12B8" w:rsidRDefault="007D12B8" w:rsidP="007D12B8">
      <w:pPr>
        <w:spacing w:before="240" w:after="240" w:line="276" w:lineRule="auto"/>
        <w:jc w:val="both"/>
        <w:rPr>
          <w:rFonts w:ascii="Arial Narrow" w:eastAsia="Times New Roman" w:hAnsi="Arial Narrow" w:cs="Times New Roman"/>
          <w:sz w:val="24"/>
          <w:szCs w:val="24"/>
          <w:lang w:eastAsia="es-UY"/>
        </w:rPr>
      </w:pPr>
      <w:r w:rsidRPr="007D12B8">
        <w:rPr>
          <w:rFonts w:ascii="Arial Narrow" w:eastAsia="Times New Roman" w:hAnsi="Arial Narrow" w:cs="Times New Roman"/>
          <w:sz w:val="24"/>
          <w:szCs w:val="24"/>
          <w:lang w:eastAsia="es-UY"/>
        </w:rPr>
        <w:t>Para actualizaciones, por favor siga </w:t>
      </w:r>
      <w:hyperlink r:id="rId9" w:history="1">
        <w:r w:rsidRPr="007D12B8">
          <w:rPr>
            <w:rFonts w:ascii="Arial Narrow" w:eastAsia="Times New Roman" w:hAnsi="Arial Narrow" w:cs="Times New Roman"/>
            <w:sz w:val="24"/>
            <w:szCs w:val="24"/>
            <w:u w:val="single"/>
            <w:lang w:eastAsia="es-UY"/>
          </w:rPr>
          <w:t>@</w:t>
        </w:r>
        <w:proofErr w:type="spellStart"/>
        <w:r w:rsidRPr="007D12B8">
          <w:rPr>
            <w:rFonts w:ascii="Arial Narrow" w:eastAsia="Times New Roman" w:hAnsi="Arial Narrow" w:cs="Times New Roman"/>
            <w:sz w:val="24"/>
            <w:szCs w:val="24"/>
            <w:u w:val="single"/>
            <w:lang w:eastAsia="es-UY"/>
          </w:rPr>
          <w:t>Oxfam_es</w:t>
        </w:r>
        <w:proofErr w:type="spellEnd"/>
      </w:hyperlink>
      <w:r w:rsidRPr="007D12B8">
        <w:rPr>
          <w:rFonts w:ascii="Arial Narrow" w:eastAsia="Times New Roman" w:hAnsi="Arial Narrow" w:cs="Times New Roman"/>
          <w:sz w:val="24"/>
          <w:szCs w:val="24"/>
          <w:lang w:eastAsia="es-UY"/>
        </w:rPr>
        <w:t> </w:t>
      </w:r>
    </w:p>
    <w:p w:rsidR="007D12B8" w:rsidRPr="007D12B8" w:rsidRDefault="007D12B8" w:rsidP="007D12B8">
      <w:pPr>
        <w:spacing w:after="0" w:line="276" w:lineRule="auto"/>
        <w:jc w:val="both"/>
        <w:rPr>
          <w:rFonts w:ascii="Arial Narrow" w:eastAsia="Times New Roman" w:hAnsi="Arial Narrow" w:cs="Times New Roman"/>
          <w:b/>
          <w:bCs/>
          <w:sz w:val="24"/>
          <w:szCs w:val="24"/>
          <w:lang w:eastAsia="es-UY"/>
        </w:rPr>
      </w:pPr>
      <w:r w:rsidRPr="007D12B8">
        <w:rPr>
          <w:rFonts w:ascii="Arial Narrow" w:eastAsia="Times New Roman" w:hAnsi="Arial Narrow" w:cs="Times New Roman"/>
          <w:b/>
          <w:bCs/>
          <w:sz w:val="24"/>
          <w:szCs w:val="24"/>
          <w:lang w:eastAsia="es-UY"/>
        </w:rPr>
        <w:t>Palabras clave: </w:t>
      </w:r>
    </w:p>
    <w:p w:rsidR="007D12B8" w:rsidRPr="007D12B8" w:rsidRDefault="00655AD8" w:rsidP="007D12B8">
      <w:pPr>
        <w:spacing w:line="276" w:lineRule="auto"/>
        <w:jc w:val="both"/>
        <w:rPr>
          <w:rFonts w:ascii="Arial Narrow" w:eastAsia="Times New Roman" w:hAnsi="Arial Narrow" w:cs="Times New Roman"/>
          <w:sz w:val="24"/>
          <w:szCs w:val="24"/>
          <w:lang w:eastAsia="es-UY"/>
        </w:rPr>
      </w:pPr>
      <w:hyperlink r:id="rId10" w:history="1">
        <w:proofErr w:type="spellStart"/>
        <w:r w:rsidR="007D12B8" w:rsidRPr="007D12B8">
          <w:rPr>
            <w:rFonts w:ascii="Arial Narrow" w:eastAsia="Times New Roman" w:hAnsi="Arial Narrow" w:cs="Times New Roman"/>
            <w:sz w:val="24"/>
            <w:szCs w:val="24"/>
            <w:lang w:eastAsia="es-UY"/>
          </w:rPr>
          <w:t>inequality</w:t>
        </w:r>
      </w:hyperlink>
      <w:hyperlink r:id="rId11" w:history="1">
        <w:r w:rsidR="007D12B8" w:rsidRPr="007D12B8">
          <w:rPr>
            <w:rFonts w:ascii="Arial Narrow" w:eastAsia="Times New Roman" w:hAnsi="Arial Narrow" w:cs="Times New Roman"/>
            <w:sz w:val="24"/>
            <w:szCs w:val="24"/>
            <w:lang w:eastAsia="es-UY"/>
          </w:rPr>
          <w:t>davos</w:t>
        </w:r>
      </w:hyperlink>
      <w:hyperlink r:id="rId12" w:history="1">
        <w:r w:rsidR="007D12B8" w:rsidRPr="007D12B8">
          <w:rPr>
            <w:rFonts w:ascii="Arial Narrow" w:eastAsia="Times New Roman" w:hAnsi="Arial Narrow" w:cs="Times New Roman"/>
            <w:sz w:val="24"/>
            <w:szCs w:val="24"/>
            <w:lang w:eastAsia="es-UY"/>
          </w:rPr>
          <w:t>World</w:t>
        </w:r>
        <w:proofErr w:type="spellEnd"/>
        <w:r w:rsidR="007D12B8" w:rsidRPr="007D12B8">
          <w:rPr>
            <w:rFonts w:ascii="Arial Narrow" w:eastAsia="Times New Roman" w:hAnsi="Arial Narrow" w:cs="Times New Roman"/>
            <w:sz w:val="24"/>
            <w:szCs w:val="24"/>
            <w:lang w:eastAsia="es-UY"/>
          </w:rPr>
          <w:t xml:space="preserve"> </w:t>
        </w:r>
        <w:proofErr w:type="spellStart"/>
        <w:r w:rsidR="007D12B8" w:rsidRPr="007D12B8">
          <w:rPr>
            <w:rFonts w:ascii="Arial Narrow" w:eastAsia="Times New Roman" w:hAnsi="Arial Narrow" w:cs="Times New Roman"/>
            <w:sz w:val="24"/>
            <w:szCs w:val="24"/>
            <w:lang w:eastAsia="es-UY"/>
          </w:rPr>
          <w:t>Economic</w:t>
        </w:r>
        <w:proofErr w:type="spellEnd"/>
        <w:r w:rsidR="007D12B8" w:rsidRPr="007D12B8">
          <w:rPr>
            <w:rFonts w:ascii="Arial Narrow" w:eastAsia="Times New Roman" w:hAnsi="Arial Narrow" w:cs="Times New Roman"/>
            <w:sz w:val="24"/>
            <w:szCs w:val="24"/>
            <w:lang w:eastAsia="es-UY"/>
          </w:rPr>
          <w:t xml:space="preserve"> </w:t>
        </w:r>
        <w:proofErr w:type="spellStart"/>
        <w:r w:rsidR="007D12B8" w:rsidRPr="007D12B8">
          <w:rPr>
            <w:rFonts w:ascii="Arial Narrow" w:eastAsia="Times New Roman" w:hAnsi="Arial Narrow" w:cs="Times New Roman"/>
            <w:sz w:val="24"/>
            <w:szCs w:val="24"/>
            <w:lang w:eastAsia="es-UY"/>
          </w:rPr>
          <w:t>Forum</w:t>
        </w:r>
      </w:hyperlink>
      <w:hyperlink r:id="rId13" w:history="1">
        <w:r w:rsidR="007D12B8" w:rsidRPr="007D12B8">
          <w:rPr>
            <w:rFonts w:ascii="Arial Narrow" w:eastAsia="Times New Roman" w:hAnsi="Arial Narrow" w:cs="Times New Roman"/>
            <w:sz w:val="24"/>
            <w:szCs w:val="24"/>
            <w:lang w:eastAsia="es-UY"/>
          </w:rPr>
          <w:t>tax</w:t>
        </w:r>
      </w:hyperlink>
      <w:hyperlink r:id="rId14" w:history="1">
        <w:r w:rsidR="007D12B8" w:rsidRPr="007D12B8">
          <w:rPr>
            <w:rFonts w:ascii="Arial Narrow" w:eastAsia="Times New Roman" w:hAnsi="Arial Narrow" w:cs="Times New Roman"/>
            <w:sz w:val="24"/>
            <w:szCs w:val="24"/>
            <w:lang w:eastAsia="es-UY"/>
          </w:rPr>
          <w:t>wealth</w:t>
        </w:r>
      </w:hyperlink>
      <w:hyperlink r:id="rId15" w:history="1">
        <w:r w:rsidR="007D12B8" w:rsidRPr="007D12B8">
          <w:rPr>
            <w:rFonts w:ascii="Arial Narrow" w:eastAsia="Times New Roman" w:hAnsi="Arial Narrow" w:cs="Times New Roman"/>
            <w:sz w:val="24"/>
            <w:szCs w:val="24"/>
            <w:lang w:eastAsia="es-UY"/>
          </w:rPr>
          <w:t>health</w:t>
        </w:r>
      </w:hyperlink>
      <w:hyperlink r:id="rId16" w:history="1">
        <w:r w:rsidR="007D12B8" w:rsidRPr="007D12B8">
          <w:rPr>
            <w:rFonts w:ascii="Arial Narrow" w:eastAsia="Times New Roman" w:hAnsi="Arial Narrow" w:cs="Times New Roman"/>
            <w:sz w:val="24"/>
            <w:szCs w:val="24"/>
            <w:lang w:eastAsia="es-UY"/>
          </w:rPr>
          <w:t>education</w:t>
        </w:r>
      </w:hyperlink>
      <w:hyperlink r:id="rId17" w:history="1">
        <w:r w:rsidR="007D12B8" w:rsidRPr="007D12B8">
          <w:rPr>
            <w:rFonts w:ascii="Arial Narrow" w:eastAsia="Times New Roman" w:hAnsi="Arial Narrow" w:cs="Times New Roman"/>
            <w:sz w:val="24"/>
            <w:szCs w:val="24"/>
            <w:lang w:eastAsia="es-UY"/>
          </w:rPr>
          <w:t>women</w:t>
        </w:r>
      </w:hyperlink>
      <w:hyperlink r:id="rId18" w:history="1">
        <w:r w:rsidR="007D12B8" w:rsidRPr="007D12B8">
          <w:rPr>
            <w:rFonts w:ascii="Arial Narrow" w:eastAsia="Times New Roman" w:hAnsi="Arial Narrow" w:cs="Times New Roman"/>
            <w:sz w:val="24"/>
            <w:szCs w:val="24"/>
            <w:lang w:eastAsia="es-UY"/>
          </w:rPr>
          <w:t>girls</w:t>
        </w:r>
        <w:proofErr w:type="spellEnd"/>
      </w:hyperlink>
    </w:p>
    <w:p w:rsidR="00296128" w:rsidRPr="007D12B8" w:rsidRDefault="00296128" w:rsidP="007D12B8">
      <w:pPr>
        <w:spacing w:line="276" w:lineRule="auto"/>
        <w:jc w:val="both"/>
        <w:rPr>
          <w:rFonts w:ascii="Arial Narrow" w:hAnsi="Arial Narrow"/>
          <w:sz w:val="24"/>
          <w:szCs w:val="24"/>
        </w:rPr>
      </w:pPr>
    </w:p>
    <w:sectPr w:rsidR="00296128" w:rsidRPr="007D12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60355"/>
    <w:multiLevelType w:val="multilevel"/>
    <w:tmpl w:val="08026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073ABB"/>
    <w:multiLevelType w:val="multilevel"/>
    <w:tmpl w:val="941C9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2B8"/>
    <w:rsid w:val="00296128"/>
    <w:rsid w:val="00655AD8"/>
    <w:rsid w:val="007D12B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F73F3-52E1-4D45-BC86-A05494A8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807175">
      <w:bodyDiv w:val="1"/>
      <w:marLeft w:val="0"/>
      <w:marRight w:val="0"/>
      <w:marTop w:val="0"/>
      <w:marBottom w:val="0"/>
      <w:divBdr>
        <w:top w:val="none" w:sz="0" w:space="0" w:color="auto"/>
        <w:left w:val="none" w:sz="0" w:space="0" w:color="auto"/>
        <w:bottom w:val="none" w:sz="0" w:space="0" w:color="auto"/>
        <w:right w:val="none" w:sz="0" w:space="0" w:color="auto"/>
      </w:divBdr>
      <w:divsChild>
        <w:div w:id="1741898852">
          <w:marLeft w:val="0"/>
          <w:marRight w:val="0"/>
          <w:marTop w:val="0"/>
          <w:marBottom w:val="0"/>
          <w:divBdr>
            <w:top w:val="none" w:sz="0" w:space="0" w:color="auto"/>
            <w:left w:val="none" w:sz="0" w:space="0" w:color="auto"/>
            <w:bottom w:val="none" w:sz="0" w:space="0" w:color="auto"/>
            <w:right w:val="none" w:sz="0" w:space="0" w:color="auto"/>
          </w:divBdr>
          <w:divsChild>
            <w:div w:id="1235044833">
              <w:marLeft w:val="0"/>
              <w:marRight w:val="0"/>
              <w:marTop w:val="0"/>
              <w:marBottom w:val="0"/>
              <w:divBdr>
                <w:top w:val="none" w:sz="0" w:space="0" w:color="auto"/>
                <w:left w:val="none" w:sz="0" w:space="0" w:color="auto"/>
                <w:bottom w:val="none" w:sz="0" w:space="0" w:color="auto"/>
                <w:right w:val="none" w:sz="0" w:space="0" w:color="auto"/>
              </w:divBdr>
            </w:div>
          </w:divsChild>
        </w:div>
        <w:div w:id="12613953">
          <w:marLeft w:val="0"/>
          <w:marRight w:val="0"/>
          <w:marTop w:val="0"/>
          <w:marBottom w:val="0"/>
          <w:divBdr>
            <w:top w:val="none" w:sz="0" w:space="0" w:color="auto"/>
            <w:left w:val="none" w:sz="0" w:space="0" w:color="auto"/>
            <w:bottom w:val="none" w:sz="0" w:space="0" w:color="auto"/>
            <w:right w:val="none" w:sz="0" w:space="0" w:color="auto"/>
          </w:divBdr>
        </w:div>
        <w:div w:id="1444112087">
          <w:marLeft w:val="0"/>
          <w:marRight w:val="0"/>
          <w:marTop w:val="0"/>
          <w:marBottom w:val="0"/>
          <w:divBdr>
            <w:top w:val="none" w:sz="0" w:space="0" w:color="auto"/>
            <w:left w:val="none" w:sz="0" w:space="0" w:color="auto"/>
            <w:bottom w:val="none" w:sz="0" w:space="0" w:color="auto"/>
            <w:right w:val="none" w:sz="0" w:space="0" w:color="auto"/>
          </w:divBdr>
        </w:div>
        <w:div w:id="1878665056">
          <w:marLeft w:val="0"/>
          <w:marRight w:val="0"/>
          <w:marTop w:val="0"/>
          <w:marBottom w:val="300"/>
          <w:divBdr>
            <w:top w:val="none" w:sz="0" w:space="0" w:color="auto"/>
            <w:left w:val="none" w:sz="0" w:space="0" w:color="auto"/>
            <w:bottom w:val="none" w:sz="0" w:space="0" w:color="auto"/>
            <w:right w:val="none" w:sz="0" w:space="0" w:color="auto"/>
          </w:divBdr>
          <w:divsChild>
            <w:div w:id="176568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annietheri?lang=es" TargetMode="External"/><Relationship Id="rId13" Type="http://schemas.openxmlformats.org/officeDocument/2006/relationships/hyperlink" Target="https://www.oxfam.org/es/tags/tax" TargetMode="External"/><Relationship Id="rId18" Type="http://schemas.openxmlformats.org/officeDocument/2006/relationships/hyperlink" Target="https://www.oxfam.org/es/tags/girls" TargetMode="External"/><Relationship Id="rId3" Type="http://schemas.openxmlformats.org/officeDocument/2006/relationships/settings" Target="settings.xml"/><Relationship Id="rId7" Type="http://schemas.openxmlformats.org/officeDocument/2006/relationships/hyperlink" Target="https://oxfam.box.com/s/f9meuz1jrd9e1xrkrq59e37tpoppqup0" TargetMode="External"/><Relationship Id="rId12" Type="http://schemas.openxmlformats.org/officeDocument/2006/relationships/hyperlink" Target="https://www.oxfam.org/es/tags/world-economic-forum" TargetMode="External"/><Relationship Id="rId17" Type="http://schemas.openxmlformats.org/officeDocument/2006/relationships/hyperlink" Target="https://www.oxfam.org/es/tags/women" TargetMode="External"/><Relationship Id="rId2" Type="http://schemas.openxmlformats.org/officeDocument/2006/relationships/styles" Target="styles.xml"/><Relationship Id="rId16" Type="http://schemas.openxmlformats.org/officeDocument/2006/relationships/hyperlink" Target="https://www.oxfam.org/es/tags/education-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xf.am/2To83XB" TargetMode="External"/><Relationship Id="rId11" Type="http://schemas.openxmlformats.org/officeDocument/2006/relationships/hyperlink" Target="https://www.oxfam.org/es/tags/davos" TargetMode="External"/><Relationship Id="rId5" Type="http://schemas.openxmlformats.org/officeDocument/2006/relationships/hyperlink" Target="https://www.weforum.org/" TargetMode="External"/><Relationship Id="rId15" Type="http://schemas.openxmlformats.org/officeDocument/2006/relationships/hyperlink" Target="https://www.oxfam.org/es/tags/health" TargetMode="External"/><Relationship Id="rId10" Type="http://schemas.openxmlformats.org/officeDocument/2006/relationships/hyperlink" Target="https://www.oxfam.org/es/tags/inequalit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witter.com/oxfam_es?lang=es" TargetMode="External"/><Relationship Id="rId14" Type="http://schemas.openxmlformats.org/officeDocument/2006/relationships/hyperlink" Target="https://www.oxfam.org/es/tags/wealth"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1395</Words>
  <Characters>7674</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Rosario Hermano</cp:lastModifiedBy>
  <cp:revision>2</cp:revision>
  <dcterms:created xsi:type="dcterms:W3CDTF">2019-01-22T19:00:00Z</dcterms:created>
  <dcterms:modified xsi:type="dcterms:W3CDTF">2019-01-22T19:00:00Z</dcterms:modified>
</cp:coreProperties>
</file>