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</w:pPr>
      <w:r w:rsidRPr="009E40CC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 xml:space="preserve">“Lobos devoradores” e o </w:t>
      </w:r>
      <w:proofErr w:type="spellStart"/>
      <w:r w:rsidRPr="009E40CC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>cristofascismo</w:t>
      </w:r>
      <w:proofErr w:type="spellEnd"/>
      <w:r w:rsidRPr="009E40CC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 xml:space="preserve"> no Brasil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52"/>
          <w:szCs w:val="52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1970 que a teóloga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Dorothee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cunhou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termo “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cristofascismo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”, a postura que combina </w:t>
      </w:r>
      <w:hyperlink r:id="rId4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cristianismo e fascismo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baseia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no fato de 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hyperlink r:id="rId5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partido nazista </w:t>
        </w:r>
        <w:proofErr w:type="spellStart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com</w:t>
        </w:r>
        <w:proofErr w:type="spellEnd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as </w:t>
        </w:r>
        <w:proofErr w:type="spellStart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igrejas</w:t>
        </w:r>
        <w:proofErr w:type="spellEnd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cristãs</w:t>
        </w:r>
        <w:proofErr w:type="spellEnd"/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contribuído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desenvolvimento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Terceiro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Reich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”, informa </w:t>
      </w:r>
      <w:hyperlink r:id="rId6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Magali do Nascimento Cunha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jornalista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doutora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Ciências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Comunicação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publicado por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CartaCapital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17-10-2018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Segundo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“no tempo presente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posturas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semelhantes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parte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lideranças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mesmo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supremacias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totalitarismos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políticas de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intolerância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ódio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minorias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vivo entre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presente”.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Citando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Dorothee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escreve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: “este tipo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religião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conhece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cruz apenas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símbolo mágico do que [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]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fez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nós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sinal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homem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pobre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torturado até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morte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criminoso político (...). Este 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Deus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justiça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cruz,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Páscoa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cruz – (...)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traição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desprezados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arma milagrosa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serviço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poderosos”.</w:t>
      </w:r>
    </w:p>
    <w:p w:rsidR="009E40CC" w:rsidRDefault="009E40CC" w:rsidP="009E40C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br/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Eis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o artigo.</w:t>
      </w:r>
    </w:p>
    <w:p w:rsidR="009E40CC" w:rsidRPr="009E40CC" w:rsidRDefault="009E40CC" w:rsidP="009E40C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 termo “</w:t>
      </w:r>
      <w:hyperlink r:id="rId7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fascismo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está em alta no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xingamento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resume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sinônimo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hyperlink r:id="rId8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extrema-</w:t>
        </w:r>
        <w:proofErr w:type="spellStart"/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direita</w:t>
        </w:r>
        <w:proofErr w:type="spellEnd"/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"http://www.ihu.unisinos.br/78-noticias/583614-por-que-bolsonaro-nao-inventou-a-polvora-no-brasil"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ultraconservadorismo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fasces,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feixes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força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”, símbolo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adotado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 </w:t>
      </w:r>
      <w:hyperlink r:id="rId9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Benito Mussolini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para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partido italiano a partir dos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1920. O </w:t>
      </w:r>
      <w:hyperlink r:id="rId10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nazismo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comando de </w:t>
      </w:r>
      <w:hyperlink r:id="rId11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Adolf Hitler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pela mesma época, 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destacado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ancorada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devoção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líder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cultuado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de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ideais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nacionalistas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militaristas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Baseia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unificação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povo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ideal de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"http://www.ihu.unisinos.br/78-noticias/570857-cristaos-especialistas-em-etica-racismo-e-supremacia-branca-sao-um-problema-cristao"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supremacia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raça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branca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do masculino. É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totalitário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imposição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domínio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líder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partido,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autoridade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limites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controle da vida pública 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privada, buscando regular todas 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dimensões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nacionalista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idolatria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pátria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expansão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poder,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hostilidade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marxismo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vertentes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–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anticomunismo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anti-socialismo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mídias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recursos importantes para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disseminação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ideais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sucesso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fascismo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imposição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medo 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violência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física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antídoto.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incitação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às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agressões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contra os declarados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inimigos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Estado 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supremacia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como corruptos, comunistas,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minorias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étnicas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sexuais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Abusos físicos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ruas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assassinatos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correntes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paramilitares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apoiadas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pelo Estado.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Nesse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sentido,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fascista representa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ditadura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ver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religião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?</w:t>
      </w:r>
      <w:proofErr w:type="gramEnd"/>
    </w:p>
    <w:p w:rsidR="009E40CC" w:rsidRDefault="009E40CC" w:rsidP="009E40CC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1970 que a teóloga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Dorothee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cunhou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termo “</w:t>
      </w:r>
      <w:proofErr w:type="spellStart"/>
      <w:proofErr w:type="gram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cristofascismo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 a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postura que 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combina </w:t>
      </w:r>
      <w:r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cristianismo 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fascismo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baseia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no fato de 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partido nazista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cristãs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contribuído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desenvolvimento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"http://www.ihu.unisinos.br/78-noticias/582194-historiador-alerta-para-as-sombras-do-nazismo"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Terceiro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Reich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história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registra como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evangélicos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alemães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maioria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luterana)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colaboraram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"http://www.ihu.unisinos.br/78-noticias/569803-obras-investigam-hitler-e-o-nazismo"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desenvolvimento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do nazismo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 propaganda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República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(vista pelos luteranos como poder irreligioso) e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"cristianismo positivo",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voltado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apenas contra os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judeus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agradou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este grupo.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durou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pouco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avanço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hyperlink r:id="rId12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totalitarismo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do controle que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Hitler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impôs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Já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católicos 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colocaram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contra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regime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início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depois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omitiram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ajustaram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autopreservação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Itália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Papa Pio XI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fez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aliança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Mussolini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para restaurar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privilégios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Igreja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Católica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havia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perdido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unificação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italiana.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Dorothee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Sölle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no tempo presente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posturas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semelhantes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parte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lideranças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mesmo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supremacias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totalitarismos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políticas de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intolerância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de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ódio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contra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minorias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vivo entre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presente.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conta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fé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individualizado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sentimentalizado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despreza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profetismo que o caracteriza nos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Evangelhos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além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silenciar </w:t>
      </w: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até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zombar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atuação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dele entre os pobres e marginalizados.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“Este tipo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religião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diz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teóloga, 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conhece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cruz apenas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símbolo mágico do que [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]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fez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nós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sinal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homem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pobre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torturado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até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morte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criminoso político (...). Este 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Deus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justiça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cruz,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Páscoa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cruz – (...)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traição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desprezados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arma milagrosa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serviço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poderosos”.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pesquisadora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refere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às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religiosos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no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espaço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público em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nome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"http://www.ihu.unisinos.br/78-noticias/571977-estamos-no-fim-dos-eua-cristaos-brancos-o-que-isso-significa"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supremacia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branca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máscula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grupos racistas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armados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movimentos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pró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-vida”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agridem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verbal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fisicamente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mulheres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desejam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ter o controle dos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próprios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corpos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chamam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“abortistas”,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milícias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violentam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fiéis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publicamente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orientação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sexual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cristãos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lideranças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praticam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violentas, mas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silêncio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omissão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"http://www.ihu.unisinos.br/185-noticias/noticias-2016/561941-a-fabrica-de-filhotes-nazistas" \t "_blank" </w:instrTex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Alemanha</w:t>
      </w:r>
      <w:proofErr w:type="spellEnd"/>
      <w:r w:rsidRPr="009E40CC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nazista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tornam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promoção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posturas corruptoras do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Evangelho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cristofascismo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também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conquista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fiéis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propagação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medo.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Espalha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terror sobre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conspirações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bandidos, de terroristas, de comunistas que 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justifica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reações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violentas “em legítima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defesa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(“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olho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olho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dente por dente”), o que contraria 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Evangelho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gram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ver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?</w:t>
      </w:r>
      <w:proofErr w:type="gram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leitores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compararem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descrito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acima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discursos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torno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campanha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intitulada “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Brasil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acima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tudo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, Deus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acima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todos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</w:t>
      </w: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pastor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escreveu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página do Twitter: 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absolutamente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certo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está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escrevendo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página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triste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história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história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poupará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 </w:t>
      </w:r>
      <w:hyperlink r:id="rId13" w:tgtFrame="_blank" w:history="1">
        <w:r w:rsidRPr="009E40CC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evangélicos</w:t>
        </w:r>
      </w:hyperlink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”. Para ele, “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milhões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brasileiros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escandalizados,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membros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diferentes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igrejas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aturdidos”.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Segundo pesquisas, 66% de evangélicos e 48% de católicos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apoiam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campanha</w:t>
      </w:r>
      <w:proofErr w:type="spellEnd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eleitoral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baseada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armamentismo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valorização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tortura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combate 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comunismo 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ilusório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segregação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negros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 </w:t>
      </w:r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indígenas</w:t>
      </w: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controle pelo Estado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questões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privadas como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sexualidade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retirada das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crianças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convivência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escola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entre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opõem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valores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maiores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9E40CC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Evangelho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É Deus usado de forma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promíscua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sacripanta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aprendi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palavra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nestes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bispo evangélico,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referiu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líderes religiosos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cristofascistas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).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ensinou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devemos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julgar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sermos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julgados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mas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indicou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saberemos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pelos frutos.</w:t>
      </w:r>
    </w:p>
    <w:p w:rsidR="009E40CC" w:rsidRPr="009E40CC" w:rsidRDefault="009E40CC" w:rsidP="009E40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Os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sacripantas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Jesus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classificou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gente vestida de peles de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ovelhas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por dentro </w:t>
      </w:r>
      <w:proofErr w:type="spellStart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9E40CC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lobos devoradores (Mateus 7.15-20).</w:t>
      </w:r>
    </w:p>
    <w:p w:rsidR="002E2F5B" w:rsidRDefault="002E2F5B"/>
    <w:p w:rsidR="009E40CC" w:rsidRDefault="009E40CC">
      <w:r w:rsidRPr="009E40CC">
        <w:t>http://www.ihu.unisinos.br/583800-lobos-devoradores-e-o-cristofascismo-no-brasil</w:t>
      </w:r>
      <w:bookmarkStart w:id="0" w:name="_GoBack"/>
      <w:bookmarkEnd w:id="0"/>
    </w:p>
    <w:sectPr w:rsidR="009E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C"/>
    <w:rsid w:val="002E2F5B"/>
    <w:rsid w:val="009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6BC"/>
  <w15:chartTrackingRefBased/>
  <w15:docId w15:val="{E2DCB9D3-8CC3-4523-9383-31C25B9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83700-a-face-horrenda-da-nova-extrema-direita-degenerados-blasfemadores-e-mentirosos-contumazes" TargetMode="External"/><Relationship Id="rId13" Type="http://schemas.openxmlformats.org/officeDocument/2006/relationships/hyperlink" Target="http://www.ihu.unisinos.br/583771-os-evangelicos-no-brasil-ocuparam-o-espaco-do-estado-entrevista-com-lamia-oualal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76640-o-desejo-imortal-de-fascismo" TargetMode="External"/><Relationship Id="rId12" Type="http://schemas.openxmlformats.org/officeDocument/2006/relationships/hyperlink" Target="http://www.ihu.unisinos.br/78-noticias/550514-agamben-o-flerte-do-ocidente-com-o-totalitaris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81841-religioes-politica-e-estado-laico-como-superar-equivocos" TargetMode="External"/><Relationship Id="rId11" Type="http://schemas.openxmlformats.org/officeDocument/2006/relationships/hyperlink" Target="http://www.ihu.unisinos.br/78-noticias/572476-esperando-hitler" TargetMode="External"/><Relationship Id="rId5" Type="http://schemas.openxmlformats.org/officeDocument/2006/relationships/hyperlink" Target="http://www.ihu.unisinos.br/78-noticias/559252-quando-os-nazistas-disseram-deus-esta-conosc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huonline.unisinos.br/edicao/265" TargetMode="External"/><Relationship Id="rId4" Type="http://schemas.openxmlformats.org/officeDocument/2006/relationships/hyperlink" Target="http://www.ihu.unisinos.br/78-noticias/564678-com-80-de-cristaos-brasil-vira-pais-da-intolerancia-e-ruma-ao-fascismo" TargetMode="External"/><Relationship Id="rId9" Type="http://schemas.openxmlformats.org/officeDocument/2006/relationships/hyperlink" Target="http://www.ihu.unisinos.br/78-noticias/562962-de-pio-xi-mussolini-a-francisco-tru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2018-10-19T14:58:00Z</dcterms:created>
  <dcterms:modified xsi:type="dcterms:W3CDTF">2018-10-19T15:01:00Z</dcterms:modified>
</cp:coreProperties>
</file>